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11111"/>
        </w:rPr>
        <w:t xml:space="preserve">Charge</w:t>
      </w:r>
      <w:r>
        <w:rPr>
          <w:color w:val="FF6B35"/>
        </w:rPr>
        <w:t xml:space="preserve">Via</w:t>
      </w:r>
    </w:p>
    <w:p>
      <w:pPr>
        <w:spacing w:after="400"/>
      </w:pPr>
      <w:r>
        <w:rPr>
          <w:color w:val="666666"/>
          <w:sz w:val="32"/>
          <w:szCs w:val="32"/>
        </w:rPr>
        <w:t xml:space="preserve">Brand Guidelines</w:t>
      </w:r>
    </w:p>
    <w:p>
      <w:pPr>
        <w:spacing w:after="200"/>
      </w:pPr>
      <w:r>
        <w:rPr>
          <w:color w:val="999999"/>
          <w:sz w:val="20"/>
          <w:szCs w:val="20"/>
        </w:rPr>
        <w:t xml:space="preserve">Version 1.0 — December 2025</w:t>
      </w:r>
    </w:p>
    <w:p>
      <w:r>
        <w:br w:type="page"/>
      </w:r>
    </w:p>
    <w:p>
      <w:pPr>
        <w:pStyle w:val="Heading1"/>
      </w:pPr>
      <w:r>
        <w:t xml:space="preserve">Brand Overview</w:t>
      </w:r>
    </w:p>
    <w:p>
      <w:pPr>
        <w:spacing w:after="200"/>
      </w:pPr>
      <w:r>
        <w:t xml:space="preserve">ChargeVia is the EV gas station. We build fast charging stations in cities and suburbs with 10-12 chargers, a convenience store, and clean restrooms. Pull in, plug in, grab what you need, and get back on the road.</w:t>
      </w:r>
    </w:p>
    <w:p>
      <w:pPr>
        <w:spacing w:after="200"/>
      </w:pPr>
      <w:r>
        <w:t xml:space="preserve">ChargeVia is a DBA of Altara Energy LLC, the consumer-facing brand for fast charging infrastructure paired with convenience store hospitality.</w:t>
      </w:r>
    </w:p>
    <w:p>
      <w:pPr>
        <w:pStyle w:val="Heading2"/>
      </w:pPr>
      <w:r>
        <w:t xml:space="preserve">Brand Personality</w:t>
      </w:r>
    </w:p>
    <w:p>
      <w:pPr>
        <w:spacing w:after="100"/>
      </w:pPr>
      <w:r>
        <w:rPr>
          <w:b/>
          <w:bCs/>
        </w:rPr>
        <w:t xml:space="preserve">Fun: </w:t>
      </w:r>
      <w:r>
        <w:t xml:space="preserve">Playful, light, a little cheeky</w:t>
      </w:r>
    </w:p>
    <w:p>
      <w:pPr>
        <w:spacing w:after="100"/>
      </w:pPr>
      <w:r>
        <w:rPr>
          <w:b/>
          <w:bCs/>
        </w:rPr>
        <w:t xml:space="preserve">Confident: </w:t>
      </w:r>
      <w:r>
        <w:t xml:space="preserve">We know what we're doing</w:t>
      </w:r>
    </w:p>
    <w:p>
      <w:pPr>
        <w:spacing w:after="100"/>
      </w:pPr>
      <w:r>
        <w:rPr>
          <w:b/>
          <w:bCs/>
        </w:rPr>
        <w:t xml:space="preserve">Direct: </w:t>
      </w:r>
      <w:r>
        <w:t xml:space="preserve">Clear, no fluff, straight talk</w:t>
      </w:r>
    </w:p>
    <w:p>
      <w:pPr>
        <w:spacing w:after="200"/>
      </w:pPr>
      <w:r>
        <w:rPr>
          <w:b/>
          <w:bCs/>
        </w:rPr>
        <w:t xml:space="preserve">Approachable: </w:t>
      </w:r>
      <w:r>
        <w:t xml:space="preserve">Friendly, welcoming, human</w:t>
      </w:r>
    </w:p>
    <w:p>
      <w:pPr>
        <w:pStyle w:val="Heading2"/>
      </w:pPr>
      <w:r>
        <w:t xml:space="preserve">Taglines</w:t>
      </w:r>
    </w:p>
    <w:p>
      <w:pPr>
        <w:spacing w:after="100"/>
      </w:pPr>
      <w:r>
        <w:rPr>
          <w:b/>
          <w:bCs/>
        </w:rPr>
        <w:t xml:space="preserve">Primary: </w:t>
      </w:r>
      <w:r>
        <w:t xml:space="preserve">"Fast charging. Real convenience."</w:t>
      </w:r>
    </w:p>
    <w:p>
      <w:pPr>
        <w:spacing w:after="100"/>
      </w:pPr>
      <w:r>
        <w:rPr>
          <w:b/>
          <w:bCs/>
        </w:rPr>
        <w:t xml:space="preserve">Secondary: </w:t>
      </w:r>
      <w:r>
        <w:t xml:space="preserve">"The EV gas station."</w:t>
      </w:r>
    </w:p>
    <w:p>
      <w:pPr>
        <w:spacing w:after="200"/>
      </w:pPr>
      <w:r>
        <w:rPr>
          <w:b/>
          <w:bCs/>
        </w:rPr>
        <w:t xml:space="preserve">Alternate: </w:t>
      </w:r>
      <w:r>
        <w:t xml:space="preserve">"Charge where you are."</w:t>
      </w:r>
    </w:p>
    <w:p>
      <w:r>
        <w:br w:type="page"/>
      </w:r>
    </w:p>
    <w:p>
      <w:pPr>
        <w:pStyle w:val="Heading1"/>
      </w:pPr>
      <w:r>
        <w:t xml:space="preserve">Logo</w:t>
      </w:r>
    </w:p>
    <w:p>
      <w:pPr>
        <w:spacing w:after="200"/>
      </w:pPr>
      <w:r>
        <w:t xml:space="preserve">The ChargeVia logo features a double chevron mark representing forward motion and progress. The chevrons are set within a rounded square container, creating an app-ready icon that works across all platforms and sizes.</w:t>
      </w:r>
    </w:p>
    <w:p>
      <w:pPr>
        <w:pStyle w:val="Heading2"/>
      </w:pPr>
      <w:r>
        <w:t xml:space="preserve">Logo Elements</w:t>
      </w:r>
    </w:p>
    <w:p>
      <w:pPr>
        <w:spacing w:after="100"/>
      </w:pPr>
      <w:r>
        <w:rPr>
          <w:b/>
          <w:bCs/>
        </w:rPr>
        <w:t xml:space="preserve">Icon: </w:t>
      </w:r>
      <w:r>
        <w:t xml:space="preserve">Double chevron in rounded square container</w:t>
      </w:r>
    </w:p>
    <w:p>
      <w:pPr>
        <w:spacing w:after="100"/>
      </w:pPr>
      <w:r>
        <w:rPr>
          <w:b/>
          <w:bCs/>
        </w:rPr>
        <w:t xml:space="preserve">Wordmark: </w:t>
      </w:r>
      <w:r>
        <w:t xml:space="preserve">"Charge" in dark text, "Via" in Charge Orange</w:t>
      </w:r>
    </w:p>
    <w:p>
      <w:pPr>
        <w:spacing w:after="200"/>
      </w:pPr>
      <w:r>
        <w:rPr>
          <w:b/>
          <w:bCs/>
        </w:rPr>
        <w:t xml:space="preserve">Lockup: </w:t>
      </w:r>
      <w:r>
        <w:t xml:space="preserve">Icon + wordmark in horizontal arrangement</w:t>
      </w:r>
    </w:p>
    <w:p>
      <w:pPr>
        <w:pStyle w:val="Heading2"/>
      </w:pPr>
      <w:r>
        <w:t xml:space="preserve">Logo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Container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True Black #111111, 16px corner radius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Chevron Stroke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9px (in 80×80 viewBox)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Chevron 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90° (wider, relaxed)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Wordmark Font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Outfit Bold (700)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Minimum Icon Size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16px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Minimum Lockup Width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120px</w:t>
            </w:r>
          </w:p>
        </w:tc>
      </w:tr>
    </w:tbl>
    <w:p>
      <w:pPr>
        <w:pStyle w:val="Heading2"/>
        <w:spacing w:before="300"/>
      </w:pPr>
      <w:r>
        <w:t xml:space="preserve">Logo Versions</w:t>
      </w:r>
    </w:p>
    <w:p>
      <w:pPr>
        <w:spacing w:after="100"/>
      </w:pPr>
      <w:r>
        <w:rPr>
          <w:b/>
          <w:bCs/>
        </w:rPr>
        <w:t xml:space="preserve">icon.svg: </w:t>
      </w:r>
      <w:r>
        <w:t xml:space="preserve">Primary icon with black container for light backgrounds</w:t>
      </w:r>
    </w:p>
    <w:p>
      <w:pPr>
        <w:spacing w:after="100"/>
      </w:pPr>
      <w:r>
        <w:rPr>
          <w:b/>
          <w:bCs/>
        </w:rPr>
        <w:t xml:space="preserve">icon-white.svg: </w:t>
      </w:r>
      <w:r>
        <w:t xml:space="preserve">White container version for dark backgrounds</w:t>
      </w:r>
    </w:p>
    <w:p>
      <w:pPr>
        <w:spacing w:after="100"/>
      </w:pPr>
      <w:r>
        <w:rPr>
          <w:b/>
          <w:bCs/>
        </w:rPr>
        <w:t xml:space="preserve">icon-mono.svg: </w:t>
      </w:r>
      <w:r>
        <w:t xml:space="preserve">Single-color version for limited color applications</w:t>
      </w:r>
    </w:p>
    <w:p>
      <w:pPr>
        <w:spacing w:after="100"/>
      </w:pPr>
      <w:r>
        <w:rPr>
          <w:b/>
          <w:bCs/>
        </w:rPr>
        <w:t xml:space="preserve">lockup.svg: </w:t>
      </w:r>
      <w:r>
        <w:t xml:space="preserve">Full logo for light backgrounds</w:t>
      </w:r>
    </w:p>
    <w:p>
      <w:pPr>
        <w:spacing w:after="200"/>
      </w:pPr>
      <w:r>
        <w:rPr>
          <w:b/>
          <w:bCs/>
        </w:rPr>
        <w:t xml:space="preserve">lockup-dark.svg: </w:t>
      </w:r>
      <w:r>
        <w:t xml:space="preserve">Full logo for dark backgrounds</w:t>
      </w:r>
    </w:p>
    <w:p>
      <w:r>
        <w:br w:type="page"/>
      </w:r>
    </w:p>
    <w:p>
      <w:pPr>
        <w:pStyle w:val="Heading1"/>
      </w:pPr>
      <w:r>
        <w:t xml:space="preserve">Color Palette</w:t>
      </w:r>
    </w:p>
    <w:p>
      <w:pPr>
        <w:spacing w:after="200"/>
      </w:pPr>
      <w:r>
        <w:t xml:space="preserve">The ChargeVia color palette balances energy and approachability. Charge Orange leads as the primary brand color, with Power Purple providing a complementary secondary accent.</w:t>
      </w:r>
    </w:p>
    <w:p>
      <w:pPr>
        <w:pStyle w:val="Heading2"/>
      </w:pPr>
      <w:r>
        <w:t xml:space="preserve">Primary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Color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Hex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Charge Orange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#FF6B35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Primary brand color, CTAs, "Via" text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Orange Gradient 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#E85A24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Gradient bottom for orange chevron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Power Purple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#8B6BB4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Secondary accent, purple chevron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Purple Gradient 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#7B5BA4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Gradient bottom for purple chevron</w:t>
            </w:r>
          </w:p>
        </w:tc>
      </w:tr>
    </w:tbl>
    <w:p>
      <w:pPr>
        <w:pStyle w:val="Heading2"/>
        <w:spacing w:before="300"/>
      </w:pPr>
      <w:r>
        <w:t xml:space="preserve">Neutral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Color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Hex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True Black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#111111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Logo container, "Charge" text, body text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White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#FFFFFF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Backgrounds, reversed text</w:t>
            </w:r>
          </w:p>
        </w:tc>
      </w:tr>
    </w:tbl>
    <w:p>
      <w:pPr>
        <w:pStyle w:val="Heading2"/>
        <w:spacing w:before="300"/>
      </w:pPr>
      <w:r>
        <w:t xml:space="preserve">Deprecated Colors</w:t>
      </w:r>
    </w:p>
    <w:p>
      <w:pPr>
        <w:spacing w:after="200"/>
      </w:pPr>
      <w:r>
        <w:rPr>
          <w:b/>
          <w:bCs/>
        </w:rPr>
        <w:t xml:space="preserve">Asphalt (#2C3E50): </w:t>
      </w:r>
      <w:r>
        <w:t xml:space="preserve">Do not use. This bluish-gray competes with the purple and reduces contrast. Replace with True Black (#111111).</w:t>
      </w:r>
    </w:p>
    <w:p>
      <w:r>
        <w:br w:type="page"/>
      </w:r>
    </w:p>
    <w:p>
      <w:pPr>
        <w:pStyle w:val="Heading1"/>
      </w:pPr>
      <w:r>
        <w:t xml:space="preserve">Typography</w:t>
      </w:r>
    </w:p>
    <w:p>
      <w:pPr>
        <w:spacing w:after="200"/>
      </w:pPr>
      <w:r>
        <w:t xml:space="preserve">ChargeVia uses the Outfit typeface for all brand communications. Outfit is a geometric sans-serif that balances friendliness with professionalism.</w:t>
      </w:r>
    </w:p>
    <w:p>
      <w:pPr>
        <w:pStyle w:val="Heading2"/>
      </w:pPr>
      <w:r>
        <w:t xml:space="preserve">Primary Typeface</w:t>
      </w:r>
    </w:p>
    <w:p>
      <w:pPr>
        <w:spacing w:after="100"/>
      </w:pPr>
      <w:r>
        <w:rPr>
          <w:b/>
          <w:bCs/>
        </w:rPr>
        <w:t xml:space="preserve">Font Family: </w:t>
      </w:r>
      <w:r>
        <w:t xml:space="preserve">Outfit (Google Fonts)</w:t>
      </w:r>
    </w:p>
    <w:p>
      <w:pPr>
        <w:spacing w:after="100"/>
      </w:pPr>
      <w:r>
        <w:rPr>
          <w:b/>
          <w:bCs/>
        </w:rPr>
        <w:t xml:space="preserve">Headings: </w:t>
      </w:r>
      <w:r>
        <w:t xml:space="preserve">Outfit Bold (700)</w:t>
      </w:r>
    </w:p>
    <w:p>
      <w:pPr>
        <w:spacing w:after="200"/>
      </w:pPr>
      <w:r>
        <w:rPr>
          <w:b/>
          <w:bCs/>
        </w:rPr>
        <w:t xml:space="preserve">Body: </w:t>
      </w:r>
      <w:r>
        <w:t xml:space="preserve">Outfit Regular (400)</w:t>
      </w:r>
    </w:p>
    <w:p>
      <w:pPr>
        <w:pStyle w:val="Heading2"/>
      </w:pPr>
      <w:r>
        <w:t xml:space="preserve">Fallback Typeface</w:t>
      </w:r>
    </w:p>
    <w:p>
      <w:pPr>
        <w:spacing w:after="200"/>
      </w:pPr>
      <w:r>
        <w:t xml:space="preserve">When Outfit is unavailable, use Arial as the fallback font.</w:t>
      </w:r>
    </w:p>
    <w:p>
      <w:r>
        <w:br w:type="page"/>
      </w:r>
    </w:p>
    <w:p>
      <w:pPr>
        <w:pStyle w:val="Heading1"/>
      </w:pPr>
      <w:r>
        <w:t xml:space="preserve">Usage Guidelines</w:t>
      </w:r>
    </w:p>
    <w:p>
      <w:pPr>
        <w:pStyle w:val="Heading2"/>
      </w:pPr>
      <w:r>
        <w:t xml:space="preserve">Logo Usage</w:t>
      </w:r>
    </w:p>
    <w:p>
      <w:pPr>
        <w:pStyle w:val="Heading3"/>
      </w:pPr>
      <w:r>
        <w:t xml:space="preserve">Do</w:t>
      </w:r>
    </w:p>
    <w:p>
      <w:pPr>
        <w:spacing w:after="100"/>
      </w:pPr>
      <w:r>
        <w:t xml:space="preserve">Use the primary black container on light backgrounds</w:t>
      </w:r>
    </w:p>
    <w:p>
      <w:pPr>
        <w:spacing w:after="100"/>
      </w:pPr>
      <w:r>
        <w:t xml:space="preserve">Use the white container or add a subtle border on dark backgrounds</w:t>
      </w:r>
    </w:p>
    <w:p>
      <w:pPr>
        <w:spacing w:after="100"/>
      </w:pPr>
      <w:r>
        <w:t xml:space="preserve">Maintain minimum clear space equal to one chevron height</w:t>
      </w:r>
    </w:p>
    <w:p>
      <w:pPr>
        <w:spacing w:after="200"/>
      </w:pPr>
      <w:r>
        <w:t xml:space="preserve">Use provided SVG files for best quality</w:t>
      </w:r>
    </w:p>
    <w:p>
      <w:pPr>
        <w:pStyle w:val="Heading3"/>
      </w:pPr>
      <w:r>
        <w:t xml:space="preserve">Do Not</w:t>
      </w:r>
    </w:p>
    <w:p>
      <w:pPr>
        <w:spacing w:after="100"/>
      </w:pPr>
      <w:r>
        <w:t xml:space="preserve">Use Asphalt (#2C3E50) as the container color</w:t>
      </w:r>
    </w:p>
    <w:p>
      <w:pPr>
        <w:spacing w:after="100"/>
      </w:pPr>
      <w:r>
        <w:t xml:space="preserve">Stretch, rotate, or distort the logo</w:t>
      </w:r>
    </w:p>
    <w:p>
      <w:pPr>
        <w:spacing w:after="100"/>
      </w:pPr>
      <w:r>
        <w:t xml:space="preserve">Change the chevron colors or gradients</w:t>
      </w:r>
    </w:p>
    <w:p>
      <w:pPr>
        <w:spacing w:after="100"/>
      </w:pPr>
      <w:r>
        <w:t xml:space="preserve">Add drop shadows, glows, or other effects</w:t>
      </w:r>
    </w:p>
    <w:p>
      <w:pPr>
        <w:spacing w:after="200"/>
      </w:pPr>
      <w:r>
        <w:t xml:space="preserve">Place the logo on busy or low-contrast backgrounds</w:t>
      </w:r>
    </w:p>
    <w:p>
      <w:pPr>
        <w:pStyle w:val="Heading2"/>
      </w:pPr>
      <w:r>
        <w:t xml:space="preserve">Background Usage</w:t>
      </w:r>
    </w:p>
    <w:p>
      <w:pPr>
        <w:spacing w:after="100"/>
      </w:pPr>
      <w:r>
        <w:rPr>
          <w:b/>
          <w:bCs/>
        </w:rPr>
        <w:t xml:space="preserve">Light backgrounds: </w:t>
      </w:r>
      <w:r>
        <w:t xml:space="preserve">Use lockup.svg or icon.svg</w:t>
      </w:r>
    </w:p>
    <w:p>
      <w:pPr>
        <w:spacing w:after="100"/>
      </w:pPr>
      <w:r>
        <w:rPr>
          <w:b/>
          <w:bCs/>
        </w:rPr>
        <w:t xml:space="preserve">Dark backgrounds: </w:t>
      </w:r>
      <w:r>
        <w:t xml:space="preserve">Use lockup-dark.svg or icon.svg with border</w:t>
      </w:r>
    </w:p>
    <w:p>
      <w:pPr>
        <w:spacing w:after="200"/>
      </w:pPr>
      <w:r>
        <w:rPr>
          <w:b/>
          <w:bCs/>
        </w:rPr>
        <w:t xml:space="preserve">Avoid: </w:t>
      </w:r>
      <w:r>
        <w:t xml:space="preserve">Using #2C3E50 (Asphalt) as a background color anywhere in brand materials</w:t>
      </w:r>
    </w:p>
    <w:p>
      <w:r>
        <w:br w:type="page"/>
      </w:r>
    </w:p>
    <w:p>
      <w:pPr>
        <w:pStyle w:val="Heading1"/>
      </w:pPr>
      <w:r>
        <w:t xml:space="preserve">Contact &amp; Resources</w:t>
      </w:r>
    </w:p>
    <w:p>
      <w:pPr>
        <w:spacing w:after="100"/>
      </w:pPr>
      <w:r>
        <w:rPr>
          <w:b/>
          <w:bCs/>
        </w:rPr>
        <w:t xml:space="preserve">Website: </w:t>
      </w:r>
      <w:r>
        <w:t xml:space="preserve">chargevia.net</w:t>
      </w:r>
    </w:p>
    <w:p>
      <w:pPr>
        <w:spacing w:after="100"/>
      </w:pPr>
      <w:r>
        <w:rPr>
          <w:b/>
          <w:bCs/>
        </w:rPr>
        <w:t xml:space="preserve">Social: </w:t>
      </w:r>
      <w:r>
        <w:t xml:space="preserve">@gochargevia (all platforms)</w:t>
      </w:r>
    </w:p>
    <w:p>
      <w:pPr>
        <w:spacing w:after="200"/>
      </w:pPr>
      <w:r>
        <w:rPr>
          <w:b/>
          <w:bCs/>
        </w:rPr>
        <w:t xml:space="preserve">LinkedIn: </w:t>
      </w:r>
      <w:r>
        <w:t xml:space="preserve">linkedin.com/company/gochargevia</w:t>
      </w:r>
    </w:p>
    <w:p>
      <w:pPr>
        <w:pStyle w:val="Heading2"/>
      </w:pPr>
      <w:r>
        <w:t xml:space="preserve">Related Entities</w:t>
      </w:r>
    </w:p>
    <w:p>
      <w:pPr>
        <w:spacing w:after="100"/>
      </w:pPr>
      <w:r>
        <w:rPr>
          <w:b/>
          <w:bCs/>
        </w:rPr>
        <w:t xml:space="preserve">Parent Company: </w:t>
      </w:r>
      <w:r>
        <w:t xml:space="preserve">Altara Energy LLC</w:t>
      </w:r>
    </w:p>
    <w:p>
      <w:pPr>
        <w:spacing w:after="100"/>
      </w:pPr>
      <w:r>
        <w:rPr>
          <w:b/>
          <w:bCs/>
        </w:rPr>
        <w:t xml:space="preserve">Loyalty Program: </w:t>
      </w:r>
      <w:r>
        <w:t xml:space="preserve">Pathfinder Rewards</w:t>
      </w:r>
    </w:p>
    <w:p>
      <w:pPr>
        <w:spacing w:after="200"/>
      </w:pPr>
      <w:r>
        <w:rPr>
          <w:b/>
          <w:bCs/>
        </w:rPr>
        <w:t xml:space="preserve">Sister Brand: </w:t>
      </w:r>
      <w:r>
        <w:t xml:space="preserve">Rangeway Energy, Inc. (premium hospitality charging)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111111"/>
        <w:sz w:val="20"/>
        <w:szCs w:val="20"/>
      </w:rPr>
      <w:t xml:space="preserve">Charge</w:t>
    </w:r>
    <w:r>
      <w:rPr>
        <w:rFonts w:ascii="Arial" w:cs="Arial" w:eastAsia="Arial" w:hAnsi="Arial"/>
        <w:color w:val="FF6B35"/>
        <w:sz w:val="20"/>
        <w:szCs w:val="20"/>
      </w:rPr>
      <w:t xml:space="preserve">Via</w:t>
    </w:r>
    <w:r>
      <w:rPr>
        <w:rFonts w:ascii="Arial" w:cs="Arial" w:eastAsia="Arial" w:hAnsi="Arial"/>
        <w:color w:val="888888"/>
        <w:sz w:val="20"/>
        <w:szCs w:val="20"/>
      </w:rPr>
      <w:t xml:space="preserve">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111111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2025-12-30T18:12:13.517Z</dcterms:created>
  <dcterms:modified xsi:type="dcterms:W3CDTF">2025-12-30T18:12:13.518Z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