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left"/>
      </w:pPr>
      <w:r>
        <w:rPr>
          <w:rFonts w:ascii="Arial" w:cs="Arial" w:eastAsia="Arial" w:hAnsi="Arial"/>
          <w:b/>
          <w:bCs/>
          <w:color w:val="2d2d2d"/>
          <w:sz w:val="96"/>
          <w:szCs w:val="96"/>
        </w:rPr>
        <w:t xml:space="preserve">Rangeway</w:t>
      </w:r>
    </w:p>
    <w:p>
      <w:pPr>
        <w:jc w:val="left"/>
      </w:pPr>
      <w:r>
        <w:rPr>
          <w:rFonts w:ascii="Arial" w:cs="Arial" w:eastAsia="Arial" w:hAnsi="Arial"/>
          <w:color w:val="f4a855"/>
          <w:sz w:val="48"/>
          <w:szCs w:val="48"/>
        </w:rPr>
        <w:t xml:space="preserve">Brand Guidelines</w:t>
      </w:r>
    </w:p>
    <w:p>
      <w:pPr>
        <w:spacing w:before="400"/>
      </w:pPr>
    </w:p>
    <w:p>
      <w:r>
        <w:rPr>
          <w:color w:val="666666"/>
          <w:sz w:val="24"/>
          <w:szCs w:val="24"/>
        </w:rPr>
        <w:t xml:space="preserve">A comprehensive guide to the Rangeway brand identity, visual system, and communication standards.</w:t>
      </w:r>
    </w:p>
    <w:p>
      <w:pPr>
        <w:spacing w:before="2000"/>
      </w:pPr>
    </w:p>
    <w:p>
      <w:r>
        <w:rPr>
          <w:color w:val="999999"/>
          <w:sz w:val="20"/>
          <w:szCs w:val="20"/>
        </w:rPr>
        <w:t xml:space="preserve">Version 1.0  •  December 2025</w:t>
      </w:r>
    </w:p>
    <w:p>
      <w:r>
        <w:br w:type="page"/>
      </w:r>
    </w:p>
    <w:p>
      <w:pPr>
        <w:pStyle w:val="SectionNumber"/>
      </w:pPr>
      <w:r>
        <w:t xml:space="preserve">01</w:t>
      </w:r>
    </w:p>
    <w:p>
      <w:pPr>
        <w:pStyle w:val="Heading1"/>
      </w:pPr>
      <w:r>
        <w:t xml:space="preserve">Brand Foundation</w:t>
      </w:r>
    </w:p>
    <w:p>
      <w:pPr>
        <w:spacing w:after="300"/>
      </w:pPr>
      <w:r>
        <w:rPr>
          <w:color w:val="666666"/>
        </w:rPr>
        <w:t xml:space="preserve">The strategic foundation that guides everything we do and how we present ourselves to the world.</w:t>
      </w:r>
    </w:p>
    <w:p>
      <w:pPr>
        <w:pStyle w:val="Heading2"/>
      </w:pPr>
      <w:r>
        <w:t xml:space="preserve">Brand Essence</w:t>
      </w:r>
    </w:p>
    <w:p>
      <w:pPr>
        <w:pStyle w:val="BrandEssence"/>
        <w:shd w:fill="2d2d2d" w:val="clear"/>
      </w:pPr>
      <w:r>
        <w:rPr>
          <w:color w:val="FFFFFF"/>
        </w:rPr>
        <w:t xml:space="preserve">Where charging becomes </w:t>
      </w:r>
      <w:r>
        <w:rPr>
          <w:color w:val="f4a855"/>
        </w:rPr>
        <w:t xml:space="preserve">part of your journey</w:t>
      </w:r>
    </w:p>
    <w:p>
      <w:pPr>
        <w:spacing w:after="400"/>
        <w:jc w:val="center"/>
      </w:pPr>
      <w:r>
        <w:rPr>
          <w:color w:val="666666"/>
        </w:rPr>
        <w:t xml:space="preserve">Rangeway transforms necessary charging stops into memorable moments along America's most iconic routes.</w:t>
      </w:r>
    </w:p>
    <w:p>
      <w:pPr>
        <w:pStyle w:val="Heading2"/>
      </w:pPr>
      <w:r>
        <w:t xml:space="preserve">Our Promise</w:t>
      </w:r>
    </w:p>
    <w:p>
      <w:pPr>
        <w:spacing w:after="200"/>
      </w:pPr>
      <w:r>
        <w:t xml:space="preserve">Indoor comfort at every location. Premium experiences on America's highways. Reliability you can count on.</w:t>
      </w:r>
    </w:p>
    <w:p>
      <w:pPr>
        <w:pStyle w:val="Heading2"/>
      </w:pPr>
      <w:r>
        <w:t xml:space="preserve">Our Differentiator</w:t>
      </w:r>
    </w:p>
    <w:p>
      <w:pPr>
        <w:spacing w:after="200"/>
      </w:pPr>
      <w:r>
        <w:t xml:space="preserve">Climate-controlled Driver's Lounges at every Rangeway location. No parking lot charging. This is our industry-first commitment.</w:t>
      </w:r>
    </w:p>
    <w:p>
      <w:pPr>
        <w:pStyle w:val="Heading2"/>
      </w:pPr>
      <w:r>
        <w:t xml:space="preserve">Our Philosophy</w:t>
      </w:r>
    </w:p>
    <w:p>
      <w:pPr>
        <w:spacing w:after="200"/>
      </w:pPr>
      <w:r>
        <w:t xml:space="preserve">We think like hoteliers, not utility companies. We create experiences that competitors cannot replicate with commodity infrastructure.</w:t>
      </w:r>
    </w:p>
    <w:p>
      <w:r>
        <w:br w:type="page"/>
      </w:r>
    </w:p>
    <w:p>
      <w:pPr>
        <w:pStyle w:val="SectionNumber"/>
      </w:pPr>
      <w:r>
        <w:t xml:space="preserve">02</w:t>
      </w:r>
    </w:p>
    <w:p>
      <w:pPr>
        <w:pStyle w:val="Heading1"/>
      </w:pPr>
      <w:r>
        <w:t xml:space="preserve">Logo System</w:t>
      </w:r>
    </w:p>
    <w:p>
      <w:pPr>
        <w:spacing w:after="300"/>
      </w:pPr>
      <w:r>
        <w:rPr>
          <w:color w:val="666666"/>
        </w:rPr>
        <w:t xml:space="preserve">Our logo combines the Path Mark with the Rangeway wordmark, creating a distinctive identity that represents journey, destination, and hospitality.</w:t>
      </w:r>
    </w:p>
    <w:p>
      <w:pPr>
        <w:pStyle w:val="Heading2"/>
      </w:pPr>
      <w:r>
        <w:t xml:space="preserve">Primary Logo</w:t>
      </w:r>
    </w:p>
    <w:p>
      <w:pPr>
        <w:spacing w:after="200"/>
      </w:pPr>
      <w:r>
        <w:t xml:space="preserve">The primary logo should be used in most applications. White mark and wordmark on charcoal background is our default configuration.</w:t>
      </w:r>
    </w:p>
    <w:p>
      <w:pPr>
        <w:spacing w:after="200"/>
      </w:pPr>
      <w:r>
        <w:rPr>
          <w:i/>
          <w:iCs/>
          <w:color w:val="666666"/>
        </w:rPr>
        <w:t xml:space="preserve">Primary: White mark with warm accent dot on charcoal (#2d2d2d) background</w:t>
      </w:r>
    </w:p>
    <w:p>
      <w:pPr>
        <w:pStyle w:val="Heading2"/>
      </w:pPr>
      <w:r>
        <w:t xml:space="preserve">Logo Variations</w:t>
      </w:r>
    </w:p>
    <w:p>
      <w:pPr>
        <w:spacing w:after="100"/>
      </w:pPr>
      <w:r>
        <w:t xml:space="preserve">Approved variations for different contexts:</w:t>
      </w:r>
    </w:p>
    <w:p>
      <w:pPr>
        <w:spacing w:after="100"/>
      </w:pPr>
      <w:r>
        <w:rPr>
          <w:b/>
          <w:bCs/>
        </w:rPr>
        <w:t xml:space="preserve">On Warm Background: </w:t>
      </w:r>
      <w:r>
        <w:t xml:space="preserve">White mark with charcoal dot. Use for marketing, merchandise, events.</w:t>
      </w:r>
    </w:p>
    <w:p>
      <w:pPr>
        <w:spacing w:after="100"/>
      </w:pPr>
      <w:r>
        <w:rPr>
          <w:b/>
          <w:bCs/>
        </w:rPr>
        <w:t xml:space="preserve">On Light Background: </w:t>
      </w:r>
      <w:r>
        <w:t xml:space="preserve">Charcoal mark with warm dot. Use for partnerships, documents, proposals.</w:t>
      </w:r>
    </w:p>
    <w:p>
      <w:pPr>
        <w:spacing w:after="100"/>
      </w:pPr>
      <w:r>
        <w:rPr>
          <w:b/>
          <w:bCs/>
        </w:rPr>
        <w:t xml:space="preserve">On Sage Background: </w:t>
      </w:r>
      <w:r>
        <w:t xml:space="preserve">White mark with warm dot. Use for special campaigns, seasonal content.</w:t>
      </w:r>
    </w:p>
    <w:p>
      <w:pPr>
        <w:spacing w:after="200"/>
      </w:pPr>
      <w:r>
        <w:rPr>
          <w:b/>
          <w:bCs/>
        </w:rPr>
        <w:t xml:space="preserve">Monochrome: </w:t>
      </w:r>
      <w:r>
        <w:t xml:space="preserve">Single color (all charcoal or all white). Use for single-color print applications.</w:t>
      </w:r>
    </w:p>
    <w:p>
      <w:pPr>
        <w:pStyle w:val="Heading2"/>
      </w:pPr>
      <w:r>
        <w:t xml:space="preserve">Clear Space</w:t>
      </w:r>
    </w:p>
    <w:p>
      <w:pPr>
        <w:spacing w:after="200"/>
      </w:pPr>
      <w:r>
        <w:t xml:space="preserve">Maintain clear space equal to the height of the warm accent dot on all sides of the logo.</w:t>
      </w:r>
    </w:p>
    <w:p>
      <w:pPr>
        <w:pStyle w:val="Heading2"/>
      </w:pPr>
      <w:r>
        <w:t xml:space="preserve">Minimum Sizes</w:t>
      </w:r>
    </w:p>
    <w:p>
      <w:pPr>
        <w:spacing w:after="100"/>
      </w:pPr>
      <w:r>
        <w:t xml:space="preserve">To ensure legibility, never use the logo smaller than these minimum sizes:</w:t>
      </w:r>
    </w:p>
    <w:p>
      <w:pPr>
        <w:spacing w:after="100"/>
      </w:pPr>
      <w:r>
        <w:rPr>
          <w:b/>
          <w:bCs/>
        </w:rPr>
        <w:t xml:space="preserve">Digital: </w:t>
      </w:r>
      <w:r>
        <w:t xml:space="preserve">64px standard, 32px minimum, 16px favicon</w:t>
      </w:r>
    </w:p>
    <w:p>
      <w:pPr>
        <w:spacing w:after="200"/>
      </w:pPr>
      <w:r>
        <w:rPr>
          <w:b/>
          <w:bCs/>
        </w:rPr>
        <w:t xml:space="preserve">Print: </w:t>
      </w:r>
      <w:r>
        <w:t xml:space="preserve">0.75 inches minimum for full lockup</w:t>
      </w:r>
    </w:p>
    <w:p>
      <w:pPr>
        <w:pStyle w:val="Heading2"/>
      </w:pPr>
      <w:r>
        <w:t xml:space="preserve">Incorrect Usage</w:t>
      </w:r>
    </w:p>
    <w:p>
      <w:pPr>
        <w:spacing w:after="100"/>
      </w:pPr>
      <w:r>
        <w:t xml:space="preserve">Maintain the integrity of our logo by avoiding these modifications:</w:t>
      </w:r>
    </w:p>
    <w:p>
      <w:r>
        <w:t xml:space="preserve">• Do not rotate the logo</w:t>
      </w:r>
    </w:p>
    <w:p>
      <w:r>
        <w:t xml:space="preserve">• Do not reduce opacity or add transparency</w:t>
      </w:r>
    </w:p>
    <w:p>
      <w:r>
        <w:t xml:space="preserve">• Do not change the brand colors</w:t>
      </w:r>
    </w:p>
    <w:p>
      <w:r>
        <w:t xml:space="preserve">• Do not stretch or distort proportions</w:t>
      </w:r>
    </w:p>
    <w:p>
      <w:r>
        <w:t xml:space="preserve">• Do not add effects (shadows, gradients, outlines)</w:t>
      </w:r>
    </w:p>
    <w:p>
      <w:pPr>
        <w:spacing w:after="200"/>
      </w:pPr>
      <w:r>
        <w:t xml:space="preserve">• Do not separate the mark from the wordmark in the lockup</w:t>
      </w:r>
    </w:p>
    <w:p>
      <w:r>
        <w:br w:type="page"/>
      </w:r>
    </w:p>
    <w:p>
      <w:pPr>
        <w:pStyle w:val="SectionNumber"/>
      </w:pPr>
      <w:r>
        <w:t xml:space="preserve">03</w:t>
      </w:r>
    </w:p>
    <w:p>
      <w:pPr>
        <w:pStyle w:val="Heading1"/>
      </w:pPr>
      <w:r>
        <w:t xml:space="preserve">Color Palette</w:t>
      </w:r>
    </w:p>
    <w:p>
      <w:pPr>
        <w:spacing w:after="300"/>
      </w:pPr>
      <w:r>
        <w:rPr>
          <w:color w:val="666666"/>
        </w:rPr>
        <w:t xml:space="preserve">Our colors evoke warmth, premium quality, and the golden hour moments that define the Rangeway experience.</w:t>
      </w:r>
    </w:p>
    <w:p>
      <w:pPr>
        <w:pStyle w:val="Heading2"/>
      </w:pPr>
      <w:r>
        <w:t xml:space="preserve">Primary Colors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</w:tcPr>
          <w:p>
            <w:pPr>
              <w:spacing w:before="200" w:after="20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Charcoal</w:t>
            </w:r>
          </w:p>
          <w:p>
            <w:pPr>
              <w:jc w:val="center"/>
            </w:pPr>
            <w:r>
              <w:rPr>
                <w:color w:val="CCCCCC"/>
                <w:sz w:val="20"/>
                <w:szCs w:val="20"/>
              </w:rPr>
              <w:t xml:space="preserve">#2d2d2d</w:t>
            </w:r>
          </w:p>
          <w:p>
            <w:pPr>
              <w:spacing w:after="200"/>
              <w:jc w:val="center"/>
            </w:pPr>
            <w:r>
              <w:rPr>
                <w:color w:val="CCCCCC"/>
                <w:sz w:val="20"/>
                <w:szCs w:val="20"/>
              </w:rPr>
              <w:t xml:space="preserve">RGB 45, 45, 45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a855" w:val="clear"/>
          </w:tcPr>
          <w:p>
            <w:pPr>
              <w:spacing w:before="200" w:after="20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Warm</w:t>
            </w:r>
          </w:p>
          <w:p>
            <w:pPr>
              <w:jc w:val="center"/>
            </w:pPr>
            <w:r>
              <w:rPr>
                <w:color w:val="FFFFFF"/>
                <w:sz w:val="20"/>
                <w:szCs w:val="20"/>
              </w:rPr>
              <w:t xml:space="preserve">#f4a855</w:t>
            </w:r>
          </w:p>
          <w:p>
            <w:pPr>
              <w:spacing w:after="200"/>
              <w:jc w:val="center"/>
            </w:pPr>
            <w:r>
              <w:rPr>
                <w:color w:val="FFFFFF"/>
                <w:sz w:val="20"/>
                <w:szCs w:val="20"/>
              </w:rPr>
              <w:t xml:space="preserve">RGB 244, 168, 85</w:t>
            </w:r>
          </w:p>
        </w:tc>
      </w:tr>
    </w:tbl>
    <w:p>
      <w:pPr>
        <w:spacing w:after="100"/>
      </w:pPr>
    </w:p>
    <w:p>
      <w:r>
        <w:rPr>
          <w:b/>
          <w:bCs/>
        </w:rPr>
        <w:t xml:space="preserve">Charcoal: </w:t>
      </w:r>
      <w:r>
        <w:t xml:space="preserve">Primary backgrounds, text, mark</w:t>
      </w:r>
    </w:p>
    <w:p>
      <w:pPr>
        <w:spacing w:after="300"/>
      </w:pPr>
      <w:r>
        <w:rPr>
          <w:b/>
          <w:bCs/>
        </w:rPr>
        <w:t xml:space="preserve">Warm: </w:t>
      </w:r>
      <w:r>
        <w:t xml:space="preserve">Accent, destination dot, CTAs</w:t>
      </w:r>
    </w:p>
    <w:p>
      <w:pPr>
        <w:pStyle w:val="Heading2"/>
      </w:pPr>
      <w:r>
        <w:t xml:space="preserve">Secondary Colors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</w:tcPr>
          <w:p>
            <w:pPr>
              <w:spacing w:before="200" w:after="200"/>
              <w:jc w:val="center"/>
            </w:pPr>
            <w:r>
              <w:rPr>
                <w:b/>
                <w:bCs/>
                <w:color w:val="2d2d2d"/>
                <w:sz w:val="28"/>
                <w:szCs w:val="28"/>
              </w:rPr>
              <w:t xml:space="preserve">Cream</w:t>
            </w:r>
          </w:p>
          <w:p>
            <w:pPr>
              <w:jc w:val="center"/>
            </w:pPr>
            <w:r>
              <w:rPr>
                <w:color w:val="666666"/>
                <w:sz w:val="20"/>
                <w:szCs w:val="20"/>
              </w:rPr>
              <w:t xml:space="preserve">#f5f1eb</w:t>
            </w:r>
          </w:p>
          <w:p>
            <w:pPr>
              <w:spacing w:after="200"/>
              <w:jc w:val="center"/>
            </w:pPr>
            <w:r>
              <w:rPr>
                <w:color w:val="666666"/>
                <w:sz w:val="20"/>
                <w:szCs w:val="20"/>
              </w:rPr>
              <w:t xml:space="preserve">RGB 245, 241, 235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5d52" w:val="clear"/>
          </w:tcPr>
          <w:p>
            <w:pPr>
              <w:spacing w:before="200" w:after="20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Sage</w:t>
            </w:r>
          </w:p>
          <w:p>
            <w:pPr>
              <w:jc w:val="center"/>
            </w:pPr>
            <w:r>
              <w:rPr>
                <w:color w:val="CCCCCC"/>
                <w:sz w:val="20"/>
                <w:szCs w:val="20"/>
              </w:rPr>
              <w:t xml:space="preserve">#4a5d52</w:t>
            </w:r>
          </w:p>
          <w:p>
            <w:pPr>
              <w:spacing w:after="200"/>
              <w:jc w:val="center"/>
            </w:pPr>
            <w:r>
              <w:rPr>
                <w:color w:val="CCCCCC"/>
                <w:sz w:val="20"/>
                <w:szCs w:val="20"/>
              </w:rPr>
              <w:t xml:space="preserve">RGB 74, 93, 82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7C" w:val="clear"/>
          </w:tcPr>
          <w:p>
            <w:pPr>
              <w:spacing w:before="200" w:after="20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Beacon</w:t>
            </w:r>
          </w:p>
          <w:p>
            <w:pPr>
              <w:jc w:val="center"/>
            </w:pPr>
            <w:r>
              <w:rPr>
                <w:color w:val="CCCCCC"/>
                <w:sz w:val="20"/>
                <w:szCs w:val="20"/>
              </w:rPr>
              <w:t xml:space="preserve">#2C5F7C</w:t>
            </w:r>
          </w:p>
          <w:p>
            <w:pPr>
              <w:spacing w:after="200"/>
              <w:jc w:val="center"/>
            </w:pPr>
            <w:r>
              <w:rPr>
                <w:color w:val="CCCCCC"/>
                <w:sz w:val="20"/>
                <w:szCs w:val="20"/>
              </w:rPr>
              <w:t xml:space="preserve">RGB 44, 95, 124</w:t>
            </w:r>
          </w:p>
        </w:tc>
      </w:tr>
    </w:tbl>
    <w:p>
      <w:pPr>
        <w:spacing w:after="100"/>
      </w:pPr>
    </w:p>
    <w:p>
      <w:r>
        <w:rPr>
          <w:b/>
          <w:bCs/>
        </w:rPr>
        <w:t xml:space="preserve">Cream: </w:t>
      </w:r>
      <w:r>
        <w:t xml:space="preserve">Light backgrounds, alternate layouts</w:t>
      </w:r>
    </w:p>
    <w:p>
      <w:r>
        <w:rPr>
          <w:b/>
          <w:bCs/>
        </w:rPr>
        <w:t xml:space="preserve">Sage: </w:t>
      </w:r>
      <w:r>
        <w:t xml:space="preserve">Campaigns, seasonal, secondary accent</w:t>
      </w:r>
    </w:p>
    <w:p>
      <w:pPr>
        <w:spacing w:after="200"/>
      </w:pPr>
      <w:r>
        <w:rPr>
          <w:b/>
          <w:bCs/>
        </w:rPr>
        <w:t xml:space="preserve">Beacon: </w:t>
      </w:r>
      <w:r>
        <w:t xml:space="preserve">Charging hardware, wayfinding, links</w:t>
      </w:r>
    </w:p>
    <w:p>
      <w:r>
        <w:br w:type="page"/>
      </w:r>
    </w:p>
    <w:p>
      <w:pPr>
        <w:pStyle w:val="SectionNumber"/>
      </w:pPr>
      <w:r>
        <w:t xml:space="preserve">04</w:t>
      </w:r>
    </w:p>
    <w:p>
      <w:pPr>
        <w:pStyle w:val="Heading1"/>
      </w:pPr>
      <w:r>
        <w:t xml:space="preserve">Typography</w:t>
      </w:r>
    </w:p>
    <w:p>
      <w:pPr>
        <w:spacing w:after="300"/>
      </w:pPr>
      <w:r>
        <w:rPr>
          <w:color w:val="666666"/>
        </w:rPr>
        <w:t xml:space="preserve">Our type system balances the refined elegance of Raleway with the readability of Source Sans for a premium yet approachable feel.</w:t>
      </w:r>
    </w:p>
    <w:p>
      <w:pPr>
        <w:pStyle w:val="Heading2"/>
      </w:pPr>
      <w:r>
        <w:t xml:space="preserve">Wordmark &amp; Headlines</w:t>
      </w:r>
    </w:p>
    <w:p>
      <w:pPr>
        <w:spacing w:after="200"/>
      </w:pPr>
      <w:r>
        <w:t xml:space="preserve">Raleway Bold is used for the wordmark and all headlines. Title case, with slight negative letter-spacing (-0.01em).</w:t>
      </w:r>
    </w:p>
    <w:p>
      <w:pPr>
        <w:spacing w:after="100"/>
      </w:pPr>
      <w:r>
        <w:rPr>
          <w:b/>
          <w:bCs/>
        </w:rPr>
        <w:t xml:space="preserve">Wordmark: </w:t>
      </w:r>
      <w:r>
        <w:t xml:space="preserve">Raleway Bold (700)</w:t>
      </w:r>
    </w:p>
    <w:p>
      <w:pPr>
        <w:spacing w:after="100"/>
      </w:pPr>
      <w:r>
        <w:rPr>
          <w:b/>
          <w:bCs/>
        </w:rPr>
        <w:t xml:space="preserve">Headlines: </w:t>
      </w:r>
      <w:r>
        <w:t xml:space="preserve">Raleway Bold (700)</w:t>
      </w:r>
    </w:p>
    <w:p>
      <w:pPr>
        <w:spacing w:after="200"/>
      </w:pPr>
      <w:r>
        <w:rPr>
          <w:b/>
          <w:bCs/>
        </w:rPr>
        <w:t xml:space="preserve">Subheadlines: </w:t>
      </w:r>
      <w:r>
        <w:t xml:space="preserve">Raleway SemiBold (600)</w:t>
      </w:r>
    </w:p>
    <w:p>
      <w:pPr>
        <w:pStyle w:val="Heading2"/>
      </w:pPr>
      <w:r>
        <w:t xml:space="preserve">Body Copy</w:t>
      </w:r>
    </w:p>
    <w:p>
      <w:pPr>
        <w:spacing w:after="200"/>
      </w:pPr>
      <w:r>
        <w:t xml:space="preserve">Source Sans Pro (or Source Sans 3) is used for body copy, providing excellent readability across all sizes. Use Regular (400) for body text and SemiBold (600) for emphasis.</w:t>
      </w:r>
    </w:p>
    <w:p>
      <w:pPr>
        <w:pStyle w:val="Heading2"/>
      </w:pPr>
      <w:r>
        <w:t xml:space="preserve">Type Hierarchy</w:t>
      </w:r>
    </w:p>
    <w:p>
      <w:pPr>
        <w:spacing w:after="100"/>
      </w:pPr>
      <w:r>
        <w:rPr>
          <w:b/>
          <w:bCs/>
        </w:rPr>
        <w:t xml:space="preserve">H1: </w:t>
      </w:r>
      <w:r>
        <w:t xml:space="preserve">Raleway Bold, 32-48px</w:t>
      </w:r>
    </w:p>
    <w:p>
      <w:pPr>
        <w:spacing w:after="100"/>
      </w:pPr>
      <w:r>
        <w:rPr>
          <w:b/>
          <w:bCs/>
        </w:rPr>
        <w:t xml:space="preserve">H2: </w:t>
      </w:r>
      <w:r>
        <w:t xml:space="preserve">Raleway Bold, 24-32px</w:t>
      </w:r>
    </w:p>
    <w:p>
      <w:pPr>
        <w:spacing w:after="100"/>
      </w:pPr>
      <w:r>
        <w:rPr>
          <w:b/>
          <w:bCs/>
        </w:rPr>
        <w:t xml:space="preserve">H3: </w:t>
      </w:r>
      <w:r>
        <w:t xml:space="preserve">Raleway SemiBold, 18-20px</w:t>
      </w:r>
    </w:p>
    <w:p>
      <w:pPr>
        <w:spacing w:after="200"/>
      </w:pPr>
      <w:r>
        <w:rPr>
          <w:b/>
          <w:bCs/>
        </w:rPr>
        <w:t xml:space="preserve">Body: </w:t>
      </w:r>
      <w:r>
        <w:t xml:space="preserve">Source Sans Pro Regular, 16px base</w:t>
      </w:r>
    </w:p>
    <w:p>
      <w:r>
        <w:br w:type="page"/>
      </w:r>
    </w:p>
    <w:p>
      <w:pPr>
        <w:pStyle w:val="SectionNumber"/>
      </w:pPr>
      <w:r>
        <w:t xml:space="preserve">05</w:t>
      </w:r>
    </w:p>
    <w:p>
      <w:pPr>
        <w:pStyle w:val="Heading1"/>
      </w:pPr>
      <w:r>
        <w:t xml:space="preserve">Voice &amp; Tone</w:t>
      </w:r>
    </w:p>
    <w:p>
      <w:pPr>
        <w:spacing w:after="300"/>
      </w:pPr>
      <w:r>
        <w:rPr>
          <w:color w:val="666666"/>
        </w:rPr>
        <w:t xml:space="preserve">How we speak reflects who we are: thoughtful, welcoming, and premium without pretense.</w:t>
      </w:r>
    </w:p>
    <w:p>
      <w:pPr>
        <w:pStyle w:val="Heading2"/>
      </w:pPr>
      <w:r>
        <w:t xml:space="preserve">Brand Voice</w:t>
      </w:r>
    </w:p>
    <w:p>
      <w:pPr>
        <w:spacing w:after="200"/>
      </w:pPr>
      <w:r>
        <w:t xml:space="preserve">Our voice is warm, confident, and refined. We speak like hospitality professionals, not utility companies. We celebrate the journey and make every interaction feel considered.</w:t>
      </w:r>
    </w:p>
    <w:p>
      <w:pPr>
        <w:spacing w:after="100"/>
      </w:pPr>
      <w:r>
        <w:rPr>
          <w:b/>
          <w:bCs/>
        </w:rPr>
        <w:t xml:space="preserve">Thoughtful: </w:t>
      </w:r>
      <w:r>
        <w:t xml:space="preserve">Every word is intentional. We communicate with purpose and clarity.</w:t>
      </w:r>
    </w:p>
    <w:p>
      <w:pPr>
        <w:spacing w:after="100"/>
      </w:pPr>
      <w:r>
        <w:rPr>
          <w:b/>
          <w:bCs/>
        </w:rPr>
        <w:t xml:space="preserve">Welcoming: </w:t>
      </w:r>
      <w:r>
        <w:t xml:space="preserve">We make everyone feel like a valued guest, not just a customer.</w:t>
      </w:r>
    </w:p>
    <w:p>
      <w:pPr>
        <w:spacing w:after="300"/>
      </w:pPr>
      <w:r>
        <w:rPr>
          <w:b/>
          <w:bCs/>
        </w:rPr>
        <w:t xml:space="preserve">Elevated: </w:t>
      </w:r>
      <w:r>
        <w:t xml:space="preserve">Premium without pretense. Quality you can feel in every detail.</w:t>
      </w:r>
    </w:p>
    <w:p>
      <w:pPr>
        <w:pStyle w:val="Heading2"/>
      </w:pPr>
      <w:r>
        <w:t xml:space="preserve">Language to Use</w:t>
      </w:r>
    </w:p>
    <w:p>
      <w:r>
        <w:t xml:space="preserve">• Driver's Lounge</w:t>
      </w:r>
    </w:p>
    <w:p>
      <w:r>
        <w:t xml:space="preserve">• Destination experiences</w:t>
      </w:r>
    </w:p>
    <w:p>
      <w:r>
        <w:t xml:space="preserve">• A moment worth savoring</w:t>
      </w:r>
    </w:p>
    <w:p>
      <w:r>
        <w:t xml:space="preserve">• Thoughtful amenities</w:t>
      </w:r>
    </w:p>
    <w:p>
      <w:r>
        <w:t xml:space="preserve">• Premium hospitality</w:t>
      </w:r>
    </w:p>
    <w:p>
      <w:r>
        <w:t xml:space="preserve">• Indoor comfort guarantee</w:t>
      </w:r>
    </w:p>
    <w:p>
      <w:r>
        <w:t xml:space="preserve">• Credits back (for loyalty rewards)</w:t>
      </w:r>
    </w:p>
    <w:p>
      <w:pPr>
        <w:spacing w:after="300"/>
      </w:pPr>
      <w:r>
        <w:t xml:space="preserve">• Earned through your loyalty</w:t>
      </w:r>
    </w:p>
    <w:p>
      <w:pPr>
        <w:pStyle w:val="Heading2"/>
      </w:pPr>
      <w:r>
        <w:t xml:space="preserve">Language to Avoid</w:t>
      </w:r>
    </w:p>
    <w:p>
      <w:r>
        <w:t xml:space="preserve">• Technical jargon (350kW, NOC, etc.)</w:t>
      </w:r>
    </w:p>
    <w:p>
      <w:r>
        <w:t xml:space="preserve">• "Just chargers" framing</w:t>
      </w:r>
    </w:p>
    <w:p>
      <w:r>
        <w:t xml:space="preserve">• Utility/infrastructure language</w:t>
      </w:r>
    </w:p>
    <w:p>
      <w:r>
        <w:t xml:space="preserve">• "Discounts" or "cheaper rates"</w:t>
      </w:r>
    </w:p>
    <w:p>
      <w:r>
        <w:t xml:space="preserve">• Hub-satellite terminology</w:t>
      </w:r>
    </w:p>
    <w:p>
      <w:r>
        <w:t xml:space="preserve">• "Station" (use "location" instead)</w:t>
      </w:r>
    </w:p>
    <w:p>
      <w:r>
        <w:t xml:space="preserve">• Em dashes in writing</w:t>
      </w:r>
    </w:p>
    <w:p>
      <w:pPr>
        <w:spacing w:after="200"/>
      </w:pPr>
      <w:r>
        <w:t xml:space="preserve">• Overly casual language</w:t>
      </w:r>
    </w:p>
    <w:p>
      <w:r>
        <w:br w:type="page"/>
      </w:r>
    </w:p>
    <w:p>
      <w:pPr>
        <w:pStyle w:val="SectionNumber"/>
      </w:pPr>
      <w:r>
        <w:t xml:space="preserve">06</w:t>
      </w:r>
    </w:p>
    <w:p>
      <w:pPr>
        <w:pStyle w:val="Heading1"/>
      </w:pPr>
      <w:r>
        <w:t xml:space="preserve">Usage Guidelines</w:t>
      </w:r>
    </w:p>
    <w:p>
      <w:pPr>
        <w:spacing w:after="300"/>
      </w:pPr>
      <w:r>
        <w:rPr>
          <w:color w:val="666666"/>
        </w:rPr>
        <w:t xml:space="preserve">Quick reference for when to use each logo variation and brand element.</w:t>
      </w:r>
    </w:p>
    <w:p>
      <w:pPr>
        <w:pStyle w:val="Heading2"/>
      </w:pPr>
      <w:r>
        <w:t xml:space="preserve">Logo Application Guide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Context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Logo Version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App icon, website header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Primary (Charcoal bg)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Default for digital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Physical signage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Primary (Charcoal bg)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Ensure contrast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Business cards, investor deck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Primary (Charcoal bg)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Professional contexts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Marketing, social media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Warm bg or Primary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Choose based on content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Merchandise, apparel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Warm bg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Energetic, visible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Co-branded materials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Light (Cream/White bg)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Works with partners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Documents, proposals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Light (Cream/White bg)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Clean, readable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Special campaigns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Sage bg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Seasonal, unique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Single-color print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Mono black or white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Production limits</w:t>
            </w:r>
          </w:p>
        </w:tc>
      </w:tr>
    </w:tbl>
    <w:p>
      <w:pPr>
        <w:spacing w:before="600"/>
      </w:pPr>
    </w:p>
    <w:p>
      <w:pPr>
        <w:jc w:val="center"/>
      </w:pPr>
      <w:r>
        <w:rPr>
          <w:color w:val="999999"/>
          <w:sz w:val="20"/>
          <w:szCs w:val="20"/>
        </w:rPr>
        <w:t xml:space="preserve">© 2025 Rangeway. All rights reserved.</w:t>
      </w:r>
    </w:p>
    <w:p>
      <w:pPr>
        <w:jc w:val="center"/>
      </w:pPr>
      <w:r>
        <w:rPr>
          <w:color w:val="999999"/>
          <w:sz w:val="20"/>
          <w:szCs w:val="20"/>
        </w:rPr>
        <w:t xml:space="preserve">Questions? brand@rangeway.com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Page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8"/>
        <w:szCs w:val="18"/>
      </w:rPr>
      <w:t xml:space="preserve"> of </w:t>
    </w:r>
    <w:r>
      <w:rPr>
        <w:color w:val="99999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8"/>
        <w:szCs w:val="18"/>
      </w:rPr>
      <w:t xml:space="preserve">Rangeway Brand Guidelines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left"/>
    </w:pPr>
    <w:rPr>
      <w:rFonts w:ascii="Arial" w:cs="Arial" w:eastAsia="Arial" w:hAnsi="Arial"/>
      <w:b/>
      <w:bCs/>
      <w:color w:val="2d2d2d"/>
      <w:sz w:val="72"/>
      <w:szCs w:val="72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2d2d2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d2d2d"/>
      <w:sz w:val="28"/>
      <w:szCs w:val="28"/>
    </w:rPr>
  </w:style>
  <w:style w:type="paragraph" w:styleId="SectionNumber">
    <w:name w:val="Section Number"/>
    <w:basedOn w:val="Normal"/>
    <w:pPr>
      <w:spacing w:before="400" w:after="0"/>
    </w:pPr>
    <w:rPr>
      <w:rFonts w:ascii="Arial" w:cs="Arial" w:eastAsia="Arial" w:hAnsi="Arial"/>
      <w:b/>
      <w:bCs/>
      <w:color w:val="f4a855"/>
      <w:sz w:val="20"/>
      <w:szCs w:val="20"/>
    </w:rPr>
  </w:style>
  <w:style w:type="paragraph" w:styleId="BrandEssence">
    <w:name w:val="Brand Essence"/>
    <w:basedOn w:val="Normal"/>
    <w:pPr>
      <w:spacing w:before="200" w:after="200"/>
      <w:jc w:val="center"/>
    </w:pPr>
    <w:rPr>
      <w:rFonts w:ascii="Arial" w:cs="Arial" w:eastAsia="Arial" w:hAnsi="Arial"/>
      <w:b/>
      <w:bCs/>
      <w:color w:val="2d2d2d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2025-12-09T16:04:28.964Z</dcterms:created>
  <dcterms:modified xsi:type="dcterms:W3CDTF">2025-12-09T16:04:28.964Z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