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00"/>
      </w:pPr>
      <w:r>
        <w:rPr>
          <w:rFonts w:ascii="Arial" w:hAnsi="Arial" w:eastAsia="Arial"/>
          <w:b/>
          <w:i w:val="0"/>
          <w:sz w:val="20"/>
        </w:rPr>
        <w:t xml:space="preserve">Table X. </w:t>
      </w:r>
      <w:r>
        <w:rPr>
          <w:rFonts w:ascii="Arial" w:hAnsi="Arial" w:eastAsia="Arial"/>
          <w:b w:val="0"/>
          <w:i w:val="0"/>
          <w:sz w:val="20"/>
        </w:rPr>
        <w:t>Pairwise agreement of generated transition-metal complex structures under the consensus-correction scenario.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10" w:color="000000"/>
              <w:bottom w:val="single" w:sz="8" w:color="000000"/>
              <w:left w:val="nil"/>
              <w:right w:val="nil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</w:rPr>
              <w:t>Pair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10" w:color="000000"/>
              <w:bottom w:val="single" w:sz="8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Chemically equivalent</w:t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17"/>
              </w:rPr>
              <w:t>ligand structure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10" w:color="000000"/>
              <w:bottom w:val="single" w:sz="8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Metal connectivity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10" w:color="000000"/>
              <w:bottom w:val="single" w:sz="8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Metal oxidation state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ILP–CSD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47,627 / 53,070 (89.7%)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49,467 / 53,070 (93.2%)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48,582 / 53,070 (91.5%)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ILP–NBO(DFT)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41,519 / 46,093 (90.1%)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42,850 / 46,093 (93.0%)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44,423 / 46,093 (96.4%)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ILP–Hückel(DFT)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51,615 / 59,375 (86.9%)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53,874 / 59,375 (90.7%)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53,981 / 59,375 (90.9%)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CSD–NBO(DFT)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36,198 / 41,392 (87.5%)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38,452 / 41,392 (92.9%)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38,913 / 41,392 (94.0%)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CSD–Hückel(DFT)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44,760 / 53,091 (84.3%)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48,219 / 53,091 (90.8%)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47,709 / 53,091 (89.9%)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single" w:sz="10" w:color="00000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NBO(DFT)–Hückel(DFT)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42,105 / 46,100 (91.3%)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41,290 / 46,100 (89.6%)</w:t>
            </w:r>
          </w:p>
        </w:tc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left w:val="nil"/>
              <w:right w:val="nil"/>
              <w:bottom w:val="single" w:sz="10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43,291 / 46,100 (93.9%)</w:t>
            </w:r>
          </w:p>
        </w:tc>
      </w:tr>
    </w:tbl>
    <w:p>
      <w:pPr>
        <w:spacing w:before="60" w:after="0" w:line="240" w:lineRule="auto"/>
      </w:pPr>
      <w:r>
        <w:rPr>
          <w:rFonts w:ascii="Arial" w:hAnsi="Arial" w:eastAsia="Arial"/>
          <w:b w:val="0"/>
          <w:i/>
          <w:sz w:val="16"/>
        </w:rPr>
        <w:t xml:space="preserve">a </w:t>
      </w:r>
      <w:r>
        <w:rPr>
          <w:rFonts w:ascii="Arial" w:hAnsi="Arial" w:eastAsia="Arial"/>
          <w:b w:val="0"/>
          <w:i w:val="0"/>
          <w:sz w:val="16"/>
        </w:rPr>
        <w:t>Values are reported as the number of agreements divided by the number of structures successfully parsed by both methods, followed by the corresponding percentage.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/>
          <w:sz w:val="16"/>
        </w:rPr>
        <w:t xml:space="preserve">b </w:t>
      </w:r>
      <w:r>
        <w:rPr>
          <w:rFonts w:ascii="Arial" w:hAnsi="Arial" w:eastAsia="Arial"/>
          <w:b w:val="0"/>
          <w:i w:val="0"/>
          <w:sz w:val="16"/>
        </w:rPr>
        <w:t>Chemically equivalent ligand structures were evaluated using resonance-aware matching and normalization of recognized alternative NHC/CAAC and isocyanide representations.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/>
          <w:sz w:val="16"/>
        </w:rPr>
        <w:t xml:space="preserve">c </w:t>
      </w:r>
      <w:r>
        <w:rPr>
          <w:rFonts w:ascii="Arial" w:hAnsi="Arial" w:eastAsia="Arial"/>
          <w:b w:val="0"/>
          <w:i w:val="0"/>
          <w:sz w:val="16"/>
        </w:rPr>
        <w:t>For ILP-containing comparisons, the values are counterfactual estimates obtained by treating every ILP assignment that disagreed with a unanimous CSD/NBO(DFT)/Hückel(DFT) consensus as a corrected match (1,449 ligand structures, 1,415 metal connectivities, and 1,489 oxidation states). These estimates have not been independently validated as accuracies.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Pairwise agreement of generated TMC structures</dc:title>
  <dc:subject>JCIM-formatted manuscript table</dc:subject>
  <dc:creator>Generated for manuscript preparation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