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is in great need of many different controls, such as: Least privilege, disaster recovery plans, password policies, separation of duties, an intrusion detection system, backups of data, legacy system management, encrypting sensitive data, and password management system. These will improve Botium Toys’ security posture and reduce risk to all assets.</w:t>
      </w:r>
    </w:p>
    <w:p w:rsidR="00000000" w:rsidDel="00000000" w:rsidP="00000000" w:rsidRDefault="00000000" w:rsidRPr="00000000" w14:paraId="00000079">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regards to compliance issues, Botium Toys’ needs to practice least privilege, encrypt customers’ information, have a password management system,  and properly store data.</w:t>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