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2.png" ContentType="image/png"/>
  <Override PartName="/word/media/rId20.png" ContentType="image/png"/>
  <Override PartName="/word/media/rId46.png" ContentType="image/png"/>
  <Override PartName="/word/media/rId3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Coral reefs habitat status and trends</w:t>
      </w:r>
    </w:p>
    <w:p>
      <w:pPr>
        <w:pStyle w:val="Author"/>
      </w:pPr>
      <w:r>
        <w:t xml:space="preserve">@Australian</w:t>
      </w:r>
      <w:r>
        <w:t xml:space="preserve"> </w:t>
      </w:r>
      <w:r>
        <w:t xml:space="preserve">Institute of Marine Science</w:t>
      </w:r>
    </w:p>
    <w:p>
      <w:pPr>
        <w:pStyle w:val="Date"/>
      </w:pPr>
      <w:r>
        <w:t xml:space="preserve">2025-03-04</w:t>
      </w:r>
    </w:p>
    <w:tbl>
      <w:tblPr>
        <w:tblStyle w:val="Table"/>
        <w:tblW w:type="pct" w:w="5000"/>
        <w:tblLayout w:type="fixed"/>
        <w:tblLook w:firstRow="0" w:lastRow="0" w:firstColumn="0" w:lastColumn="0" w:noHBand="0" w:noVBand="0" w:val="0000"/>
      </w:tblPr>
      <w:tblGrid>
        <w:gridCol w:w="4752"/>
        <w:gridCol w:w="3168"/>
      </w:tblGrid>
      <w:tr>
        <w:tc>
          <w:tcPr/>
          <w:bookmarkStart w:id="23" w:name="first-column"/>
          <w:p>
            <w:pPr>
              <w:jc w:val="center"/>
            </w:pPr>
            <w:r>
              <w:drawing>
                <wp:inline>
                  <wp:extent cx="3566160" cy="4754880"/>
                  <wp:effectExtent b="0" l="0" r="0" t="0"/>
                  <wp:docPr descr="" title="" id="21" name="Picture"/>
                  <a:graphic>
                    <a:graphicData uri="http://schemas.openxmlformats.org/drawingml/2006/picture">
                      <pic:pic>
                        <pic:nvPicPr>
                          <pic:cNvPr descr="figures/Region_Map.png" id="22" name="Picture"/>
                          <pic:cNvPicPr>
                            <a:picLocks noChangeArrowheads="1" noChangeAspect="1"/>
                          </pic:cNvPicPr>
                        </pic:nvPicPr>
                        <pic:blipFill>
                          <a:blip r:embed="rId20"/>
                          <a:stretch>
                            <a:fillRect/>
                          </a:stretch>
                        </pic:blipFill>
                        <pic:spPr bwMode="auto">
                          <a:xfrm>
                            <a:off x="0" y="0"/>
                            <a:ext cx="3566160" cy="4754880"/>
                          </a:xfrm>
                          <a:prstGeom prst="rect">
                            <a:avLst/>
                          </a:prstGeom>
                          <a:noFill/>
                          <a:ln w="9525">
                            <a:noFill/>
                            <a:headEnd/>
                            <a:tailEnd/>
                          </a:ln>
                        </pic:spPr>
                      </pic:pic>
                    </a:graphicData>
                  </a:graphic>
                </wp:inline>
              </w:drawing>
            </w:r>
          </w:p>
          <w:bookmarkEnd w:id="23"/>
        </w:tc>
        <w:tc>
          <w:tcPr/>
          <w:bookmarkStart w:id="25" w:name="second-column"/>
          <w:p>
            <w:pPr>
              <w:jc w:val="left"/>
            </w:pPr>
            <w:r>
              <w:t xml:space="preserve">$$ :::: {style=</w:t>
            </w:r>
            <w:r>
              <w:t xml:space="preserve">“font-size: 20pt;”</w:t>
            </w:r>
            <w:r>
              <w:t xml:space="preserve">}</w:t>
            </w:r>
          </w:p>
          <w:p>
            <w:pPr>
              <w:jc w:val="left"/>
            </w:pPr>
            <w:r>
              <w:t xml:space="preserve">begin{multlined}</w:t>
            </w:r>
          </w:p>
          <w:p>
            <w:pPr>
              <w:pStyle w:val="Heading1"/>
              <w:jc w:val="left"/>
            </w:pPr>
            <w:bookmarkStart w:id="24" w:name="region-burdekin-nrm"/>
            <w:r>
              <w:t xml:space="preserve">Region: Burdekin NRM</w:t>
            </w:r>
            <w:bookmarkEnd w:id="24"/>
          </w:p>
          <w:p>
            <w:pPr>
              <w:jc w:val="left"/>
            </w:pPr>
            <w:r>
              <w:rPr>
                <w:b/>
                <w:bCs/>
              </w:rPr>
              <w:t xml:space="preserve">Country</w:t>
            </w:r>
            <w:r>
              <w:t xml:space="preserve"> </w:t>
            </w:r>
            <w:r>
              <w:t xml:space="preserve">Australia</w:t>
            </w:r>
            <w:r>
              <w:t xml:space="preserve"> </w:t>
            </w:r>
            <w:r>
              <w:rPr>
                <w:b/>
                <w:bCs/>
              </w:rPr>
              <w:t xml:space="preserve">Report Year</w:t>
            </w:r>
            <w:r>
              <w:t xml:space="preserve">: 2025</w:t>
            </w:r>
          </w:p>
          <w:p>
            <w:pPr>
              <w:jc w:val="left"/>
            </w:pPr>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mgonzale\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Disclaimer</w:t>
            </w:r>
          </w:p>
        </w:tc>
      </w:tr>
      <w:tr>
        <w:trPr>
          <w:cantSplit/>
        </w:trPr>
        <w:tc>
          <w:tcPr>
            <w:tcMar>
              <w:top w:w="108" w:type="dxa"/>
              <w:bottom w:w="108" w:type="dxa"/>
            </w:tcMar>
          </w:tcPr>
          <w:p>
            <w:pPr>
              <w:pStyle w:val="BodyText"/>
            </w:pPr>
            <w:pPr>
              <w:spacing w:before="16" w:after="16"/>
            </w:pPr>
            <w:r>
              <w:t xml:space="preserve">This report has been automatically generated with results from monitoring that are publicly available on ReefCloud.ai. Neither the authors nor the Australian Institute of Marine Science provide any guarantees or take responsibility for the content or interpretation of these results. Users are advised to verify the data and consult with experts for accurate interpretation and application of the information presented in this report.</w:t>
            </w:r>
          </w:p>
        </w:tc>
      </w:tr>
    </w:tbl>
    <w:p>
      <w:r>
        <w:br w:type="page"/>
      </w:r>
    </w:p>
    <w:bookmarkStart w:id="45" w:name="introduction"/>
    <w:p>
      <w:pPr>
        <w:pStyle w:val="Heading1"/>
      </w:pPr>
      <w:r>
        <w:t xml:space="preserve">Introduction</w:t>
      </w:r>
    </w:p>
    <w:p>
      <w:pPr>
        <w:pStyle w:val="FirstParagraph"/>
      </w:pPr>
      <w:r>
        <w:t xml:space="preserve">This report provides a summary of the results from monitoring coral reef habitats in this region using</w:t>
      </w:r>
      <w:r>
        <w:t xml:space="preserve"> </w:t>
      </w:r>
      <w:hyperlink r:id="rId29">
        <w:r>
          <w:rPr>
            <w:rStyle w:val="Hyperlink"/>
          </w:rPr>
          <w:t xml:space="preserve">ReefCloud</w:t>
        </w:r>
      </w:hyperlink>
      <w:r>
        <w:t xml:space="preserve">. ReefCloud is an open-access data platform designed to facilitate the collection, analysis, and visualization of coral reef monitoring data to fain efficiency in the delivery of science for management(Australian Institute of Marine Science, 2024). By leveraging cutting-edge technology and data science, ReefCloud.ai enables researchers and stakeholders to assess the status and trends of coral reef ecosystems effectively.</w:t>
      </w:r>
    </w:p>
    <w:p>
      <w:pPr>
        <w:pStyle w:val="BodyText"/>
      </w:pPr>
      <w:r>
        <w:t xml:space="preserve">Coral reefs are among the most diverse and valuable ecosystems on Earth, providing critical habitat for countless marine species, supporting fisheries, protecting coastlines from erosion, and contributing to local economies through tourism and recreation (Hoegh-Guldberg et al., 2007). Despite their importance, coral reefs are facing unprecedented threats from climate change, overfishing, pollution, and other human activities. Recent studies have documented significant declines in coral cover and reef health globally, with some regions experiencing losses of up to 50% in the past few decades (Hughes et al., 2017; Bruno &amp; Selig, 2007).</w:t>
      </w:r>
    </w:p>
    <w:p>
      <w:pPr>
        <w:pStyle w:val="BodyText"/>
      </w:pPr>
      <w:r>
        <w:t xml:space="preserve">Monitoring coral reefs is essential for understanding the extent and drivers of these declines and for informing effective conservation and management actions. Regular monitoring allows scientists to detect changes in reef condition, identify areas of resilience, and evaluate the effectiveness of conservation interventions (McClanahan et al., 2012). However, traditional monitoring methods can be labor-intensive, time-consuming, and costly, limiting their scalability and frequency.</w:t>
      </w:r>
    </w:p>
    <w:p>
      <w:pPr>
        <w:pStyle w:val="BodyText"/>
      </w:pPr>
      <w:r>
        <w:t xml:space="preserve">ReefCloud.ai addresses these challenges by providing a user-friendly platform that streamlines the process of data collection, analysis, and reporting. The platform integrates data from various sources, including photo-transects and satellite data products to provide a comprehensive view of reef health. Advanced analytical tools and machine learning algorithms enable the rapid processing and interpretation of large datasets, making it easier for researchers to track changes over time and identify emerging threats.</w:t>
      </w:r>
    </w:p>
    <w:p>
      <w:pPr>
        <w:pStyle w:val="BodyText"/>
      </w:pPr>
      <w:r>
        <w:t xml:space="preserve">In addition to its technical capabilities, ReefCloud fosters collaboration and data sharing among researchers, conservation practitioners, and policymakers. By providing a centralized repository for reef monitoring data, the platform promotes transparency and facilitates the dissemination of findings to a broader audience. This collaborative approach enhances the collective understanding of coral reef dynamics and supports the development of coordinated conservation strategies.</w:t>
      </w:r>
    </w:p>
    <w:p>
      <w:pPr>
        <w:pStyle w:val="BodyText"/>
      </w:pPr>
      <w:r>
        <w:t xml:space="preserve">In summary, this report leverages the capabilities of ReefCloud to provide an in-depth assessment of coral reef habitats in the region. The findings presented here will contribute to ongoing efforts to protect and restore these vital ecosystems for future generations.</w:t>
      </w:r>
      <w:r>
        <w:t xml:space="preserve"> </w:t>
      </w:r>
      <w:r>
        <w:t xml:space="preserve"># Methodology</w:t>
      </w:r>
    </w:p>
    <w:bookmarkStart w:id="34" w:name="study-area"/>
    <w:p>
      <w:pPr>
        <w:pStyle w:val="Heading2"/>
      </w:pPr>
      <w:r>
        <w:t xml:space="preserve">Study Area</w:t>
      </w:r>
    </w:p>
    <w:p>
      <w:pPr>
        <w:pStyle w:val="FirstParagraph"/>
      </w:pPr>
      <w:r>
        <w:t xml:space="preserve">The surveyed area, identified within the administrative boundaries of Burdekin NRM in Australia, encompasses the following details:</w:t>
      </w:r>
    </w:p>
    <w:p>
      <w:pPr>
        <w:pStyle w:val="Compact"/>
        <w:numPr>
          <w:ilvl w:val="0"/>
          <w:numId w:val="1001"/>
        </w:numPr>
      </w:pPr>
      <w:r>
        <w:rPr>
          <w:b/>
          <w:bCs/>
        </w:rPr>
        <w:t xml:space="preserve">Number of Sites</w:t>
      </w:r>
      <w:r>
        <w:t xml:space="preserve">: 66</w:t>
      </w:r>
    </w:p>
    <w:p>
      <w:pPr>
        <w:pStyle w:val="Compact"/>
        <w:numPr>
          <w:ilvl w:val="0"/>
          <w:numId w:val="1001"/>
        </w:numPr>
      </w:pPr>
      <w:r>
        <w:rPr>
          <w:b/>
          <w:bCs/>
        </w:rPr>
        <w:t xml:space="preserve">Number of Photo Quadrats</w:t>
      </w:r>
      <w:r>
        <w:t xml:space="preserve">: 87519</w:t>
      </w:r>
    </w:p>
    <w:p>
      <w:pPr>
        <w:pStyle w:val="Compact"/>
        <w:numPr>
          <w:ilvl w:val="0"/>
          <w:numId w:val="1001"/>
        </w:numPr>
      </w:pPr>
      <w:r>
        <w:rPr>
          <w:b/>
          <w:bCs/>
        </w:rPr>
        <w:t xml:space="preserve">Data Contributors</w:t>
      </w:r>
      <w:r>
        <w:t xml:space="preserve">: Australian Institute of Marine Science, Coral Sea Foundation, University of Queensland</w:t>
      </w:r>
    </w:p>
    <w:p>
      <w:pPr>
        <w:pStyle w:val="Compact"/>
        <w:numPr>
          <w:ilvl w:val="0"/>
          <w:numId w:val="1001"/>
        </w:numPr>
      </w:pPr>
      <w:r>
        <w:rPr>
          <w:b/>
          <w:bCs/>
        </w:rPr>
        <w:t xml:space="preserve">Source</w:t>
      </w:r>
      <w:r>
        <w:t xml:space="preserve">: www.reefcloud.ai</w:t>
      </w:r>
    </w:p>
    <w:p>
      <w:pPr>
        <w:pStyle w:val="Compact"/>
        <w:numPr>
          <w:ilvl w:val="0"/>
          <w:numId w:val="1001"/>
        </w:numPr>
      </w:pPr>
      <w:r>
        <w:rPr>
          <w:b/>
          <w:bCs/>
        </w:rPr>
        <w:t xml:space="preserve">Report Year</w:t>
      </w:r>
      <w:r>
        <w:t xml:space="preserve">: 2025</w:t>
      </w:r>
    </w:p>
    <w:p>
      <w:pPr>
        <w:pStyle w:val="FirstParagraph"/>
      </w:pPr>
      <w:r>
        <w:t xml:space="preserve">The survey sites are distributed across the region (</w:t>
      </w:r>
      <w:hyperlink w:anchor="fig-map">
        <w:r>
          <w:rPr>
            <w:rStyle w:val="Hyperlink"/>
          </w:rPr>
          <w:t xml:space="preserve">Figure 1</w:t>
        </w:r>
      </w:hyperlink>
      <w:r>
        <w:t xml:space="preserve">), detailed information provided in</w:t>
      </w:r>
      <w:r>
        <w:t xml:space="preserve"> </w:t>
      </w:r>
      <w:hyperlink w:anchor="tbl-surveyed_site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map"/>
          <w:p>
            <w:pPr>
              <w:pStyle w:val="Compact"/>
              <w:jc w:val="left"/>
            </w:pPr>
            <w:r>
              <w:drawing>
                <wp:inline>
                  <wp:extent cx="4587290" cy="3669832"/>
                  <wp:effectExtent b="0" l="0" r="0" t="0"/>
                  <wp:docPr descr="" title="" id="31" name="Picture"/>
                  <a:graphic>
                    <a:graphicData uri="http://schemas.openxmlformats.org/drawingml/2006/picture">
                      <pic:pic>
                        <pic:nvPicPr>
                          <pic:cNvPr descr="figures/Site_Map.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jc w:val="left"/>
            </w:pPr>
            <w:pPr>
              <w:jc w:val="start"/>
              <w:spacing w:before="200"/>
              <w:pStyle w:val="ImageCaption"/>
            </w:pPr>
            <w:r>
              <w:t xml:space="preserve">Figure 1: Map of survey sites in the region.</w:t>
            </w:r>
          </w:p>
          <w:bookmarkEnd w:id="33"/>
        </w:tc>
      </w:tr>
    </w:tbl>
    <w:bookmarkEnd w:id="34"/>
    <w:bookmarkStart w:id="38" w:name="benthic-analyses"/>
    <w:p>
      <w:pPr>
        <w:pStyle w:val="Heading2"/>
      </w:pPr>
      <w:r>
        <w:t xml:space="preserve">Benthic Analyses</w:t>
      </w:r>
    </w:p>
    <w:bookmarkStart w:id="35" w:name="automated-image-analyses"/>
    <w:p>
      <w:pPr>
        <w:pStyle w:val="Heading3"/>
      </w:pPr>
      <w:r>
        <w:t xml:space="preserve">Automated Image Analyses</w:t>
      </w:r>
    </w:p>
    <w:p>
      <w:pPr>
        <w:pStyle w:val="FirstParagraph"/>
      </w:pPr>
      <w:r>
        <w:t xml:space="preserve">The data in this report summarises integrated and standardized percent cover information from annotated photo-quadrats from multiple monitoring projects in ReefCloud for the selected region, made publicly available by project administrators on ReefCloud.ai.</w:t>
      </w:r>
    </w:p>
    <w:p>
      <w:pPr>
        <w:pStyle w:val="BodyText"/>
      </w:pPr>
      <w:r>
        <w:t xml:space="preserve">ReefCloud analyzes monitoring images and automatically extracts hard coral cover estimates from 50 points per image using Artificial Intelligence (sensu Gonzalez-Rivero et al., 2014). Specifically, ReefCloud employs Deep Learning with a Convolutional Neural Network model pre-trained with monitoring data from the Australian Institute of Marine Science. This model reduces the complexity of data describing benthic composition from images. Through Transfer Learning, the pre-trained model is adapted to specific locations and training data for projects in the selected region, classifying 50 points on each survey image to estimate the percent cover of hard coral and macroalgae.</w:t>
      </w:r>
    </w:p>
    <w:bookmarkEnd w:id="35"/>
    <w:bookmarkStart w:id="37" w:name="major-benthic-cover"/>
    <w:p>
      <w:pPr>
        <w:pStyle w:val="Heading3"/>
      </w:pPr>
      <w:r>
        <w:t xml:space="preserve">Major Benthic cover</w:t>
      </w:r>
    </w:p>
    <w:p>
      <w:pPr>
        <w:pStyle w:val="FirstParagraph"/>
      </w:pPr>
      <w:r>
        <w:t xml:space="preserve">Hard coral cover is a key indicator of reef health, representing the proportion of the reef surface covered by live hard corals (Hexacorallia). This measure is widely accepted and used globally to assess the condition of coral reef habitats (Hughes et al., 2010). For this report, all publicly available data from ReefCloud for the region is compiled into a single dataset, including information about the sampling source, depth, location, and number of photos analyzed to produce hard coral and macroalgae cover. These datasets are analyzed using hierarchical Bayesian statistical models, which predict annual cover (Hard Coral and Macroalgae) and the uncertainty of these estimates. The posterior predictions from the model across the region and for each site are aggregated to median and lower/upper credible intervals within 95% of the distribution quantiles (Gelman et al., 2013).</w:t>
      </w:r>
    </w:p>
    <w:p>
      <w:pPr>
        <w:pStyle w:val="BodyText"/>
      </w:pPr>
      <w:r>
        <w:t xml:space="preserve">ReefCloud uses a statistical model to generate site-specific cover estimates. The model considers transects per site and categorical depth strata (0-5m and &gt; 5m depth) as replicates to produce cover estimates per site and year using a Hierarchical Bayesian model (</w:t>
      </w:r>
      <w:hyperlink w:anchor="eq-model">
        <w:r>
          <w:rPr>
            <w:rStyle w:val="Hyperlink"/>
          </w:rPr>
          <w:t xml:space="preserve">Equation 1</w:t>
        </w:r>
      </w:hyperlink>
      <w:r>
        <w:t xml:space="preserve">).</w:t>
      </w:r>
    </w:p>
    <w:p>
      <w:pPr>
        <w:pStyle w:val="BodyText"/>
      </w:pPr>
      <w:bookmarkStart w:id="36" w:name="eq-model"/>
      <m:oMathPara>
        <m:oMathParaPr>
          <m:jc m:val="center"/>
        </m:oMathParaPr>
        <m:oMath>
          <m:m>
            <m:mPr>
              <m:baseJc m:val="center"/>
              <m:plcHide m:val="on"/>
              <m:mcs>
                <m:mc>
                  <m:mcPr>
                    <m:mcJc m:val="center"/>
                    <m:count m:val="1"/>
                  </m:mcPr>
                </m:mc>
              </m:mcs>
            </m:mPr>
            <m:mr>
              <m:e>
                <m:sSub>
                  <m:e>
                    <m:r>
                      <m:t>y</m:t>
                    </m:r>
                  </m:e>
                  <m:sub>
                    <m:r>
                      <m:t>i</m:t>
                    </m:r>
                    <m:r>
                      <m:t>j</m:t>
                    </m:r>
                  </m:sub>
                </m:sSub>
                <m:r>
                  <m:rPr>
                    <m:sty m:val="p"/>
                  </m:rPr>
                  <m:t>∼</m:t>
                </m:r>
                <m:r>
                  <m:t>​</m:t>
                </m:r>
                <m:sSub>
                  <m:e>
                    <m:r>
                      <m:t>β</m:t>
                    </m:r>
                  </m:e>
                  <m:sub>
                    <m:r>
                      <m:t>​</m:t>
                    </m:r>
                  </m:sub>
                </m:sSub>
                <m:r>
                  <m:t>B</m:t>
                </m:r>
                <m:r>
                  <m:t>i</m:t>
                </m:r>
                <m:r>
                  <m:t>n</m:t>
                </m:r>
                <m:d>
                  <m:dPr>
                    <m:begChr m:val="("/>
                    <m:endChr m:val=")"/>
                    <m:sepChr m:val=""/>
                    <m:grow/>
                  </m:dPr>
                  <m:e>
                    <m:sSub>
                      <m:e>
                        <m:r>
                          <m:t>π</m:t>
                        </m:r>
                      </m:e>
                      <m:sub>
                        <m:r>
                          <m:t>i</m:t>
                        </m:r>
                        <m:r>
                          <m:t>j</m:t>
                        </m:r>
                      </m:sub>
                    </m:sSub>
                    <m:r>
                      <m:rPr>
                        <m:sty m:val="p"/>
                      </m:rPr>
                      <m:t>,</m:t>
                    </m:r>
                    <m:r>
                      <m:t>n</m:t>
                    </m:r>
                  </m:e>
                </m:d>
              </m:e>
            </m:mr>
            <m:mr>
              <m:e>
                <m:r>
                  <m:t>l</m:t>
                </m:r>
                <m:r>
                  <m:t>o</m:t>
                </m:r>
                <m:r>
                  <m:t>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r>
                  <m:rPr>
                    <m:sty m:val="p"/>
                  </m:rPr>
                  <m:t>∼</m:t>
                </m:r>
                <m:r>
                  <m:t>​</m:t>
                </m:r>
                <m:sSub>
                  <m:e>
                    <m:r>
                      <m:t>β</m:t>
                    </m:r>
                  </m:e>
                  <m:sub>
                    <m:r>
                      <m:t>0</m:t>
                    </m:r>
                  </m:sub>
                </m:sSub>
                <m:r>
                  <m:rPr>
                    <m:sty m:val="p"/>
                  </m:rPr>
                  <m:t>+</m:t>
                </m:r>
                <m:sSub>
                  <m:e>
                    <m:r>
                      <m:t>β</m:t>
                    </m:r>
                  </m:e>
                  <m:sub>
                    <m:r>
                      <m:t>1</m:t>
                    </m:r>
                  </m:sub>
                </m:sSub>
                <m:r>
                  <m:t>y</m:t>
                </m:r>
                <m:r>
                  <m:t>e</m:t>
                </m:r>
                <m:r>
                  <m:t>a</m:t>
                </m:r>
                <m:sSub>
                  <m:e>
                    <m:r>
                      <m:t>r</m:t>
                    </m:r>
                  </m:e>
                  <m:sub>
                    <m:r>
                      <m:t>2</m:t>
                    </m:r>
                  </m:sub>
                </m:sSub>
                <m:r>
                  <m:rPr>
                    <m:sty m:val="p"/>
                  </m:rPr>
                  <m:t>+</m:t>
                </m:r>
                <m:sSub>
                  <m:e>
                    <m:r>
                      <m:t>β</m:t>
                    </m:r>
                  </m:e>
                  <m:sub>
                    <m:r>
                      <m:t>2</m:t>
                    </m:r>
                  </m:sub>
                </m:sSub>
                <m:r>
                  <m:t>d</m:t>
                </m:r>
                <m:r>
                  <m:t>e</m:t>
                </m:r>
                <m:r>
                  <m:t>p</m:t>
                </m:r>
                <m:r>
                  <m:t>t</m:t>
                </m:r>
                <m:sSub>
                  <m:e>
                    <m:r>
                      <m:t>h</m:t>
                    </m:r>
                  </m:e>
                  <m:sub>
                    <m:r>
                      <m:t>i</m:t>
                    </m:r>
                    <m:r>
                      <m:t>j</m:t>
                    </m:r>
                  </m:sub>
                </m:sSub>
                <m:r>
                  <m:rPr>
                    <m:sty m:val="p"/>
                  </m:rPr>
                  <m:t>+</m:t>
                </m:r>
                <m:sSub>
                  <m:e>
                    <m:r>
                      <m:t>γ</m:t>
                    </m:r>
                  </m:e>
                  <m:sub>
                    <m:r>
                      <m:t>s</m:t>
                    </m:r>
                    <m:r>
                      <m:t>i</m:t>
                    </m:r>
                    <m:r>
                      <m:t>t</m:t>
                    </m:r>
                    <m:r>
                      <m:t>e</m:t>
                    </m:r>
                  </m:sub>
                </m:sSub>
              </m:e>
            </m:mr>
            <m:mr>
              <m:e/>
            </m:mr>
            <m:mr>
              <m:e/>
            </m:mr>
            <m:mr>
              <m:e>
                <m:r>
                  <m:t>W</m:t>
                </m:r>
                <m:r>
                  <m:t>h</m:t>
                </m:r>
                <m:r>
                  <m:t>e</m:t>
                </m:r>
                <m:r>
                  <m:t>r</m:t>
                </m:r>
                <m:r>
                  <m:t>e</m:t>
                </m:r>
                <m:r>
                  <m:rPr>
                    <m:sty m:val="p"/>
                  </m:rPr>
                  <m:t>:</m:t>
                </m:r>
              </m:e>
            </m:mr>
            <m:mr>
              <m:e>
                <m:sSub>
                  <m:e>
                    <m:r>
                      <m:t>β</m:t>
                    </m:r>
                  </m:e>
                  <m:sub>
                    <m:r>
                      <m:t>0</m:t>
                    </m:r>
                  </m:sub>
                </m:sSub>
                <m:r>
                  <m:rPr>
                    <m:sty m:val="p"/>
                  </m:rPr>
                  <m:t>∼</m:t>
                </m:r>
                <m:r>
                  <m:t>​</m:t>
                </m:r>
                <m:r>
                  <m:t>N</m:t>
                </m:r>
                <m:d>
                  <m:dPr>
                    <m:begChr m:val="("/>
                    <m:endChr m:val=")"/>
                    <m:sepChr m:val=""/>
                    <m:grow/>
                  </m:dPr>
                  <m:e>
                    <m:r>
                      <m:t>0</m:t>
                    </m:r>
                    <m:r>
                      <m:rPr>
                        <m:sty m:val="p"/>
                      </m:rPr>
                      <m:t>,</m:t>
                    </m:r>
                    <m:r>
                      <m:t>1</m:t>
                    </m:r>
                  </m:e>
                </m:d>
              </m:e>
            </m:mr>
            <m:mr>
              <m:e>
                <m:sSub>
                  <m:e>
                    <m:r>
                      <m:t>β</m:t>
                    </m:r>
                  </m:e>
                  <m:sub>
                    <m:r>
                      <m:t>1</m:t>
                    </m:r>
                  </m:sub>
                </m:sSub>
                <m:r>
                  <m:rPr>
                    <m:sty m:val="p"/>
                  </m:rPr>
                  <m:t>∼</m:t>
                </m:r>
                <m:r>
                  <m:t>​</m:t>
                </m:r>
                <m:r>
                  <m:t>N</m:t>
                </m:r>
                <m:d>
                  <m:dPr>
                    <m:begChr m:val="("/>
                    <m:endChr m:val=")"/>
                    <m:sepChr m:val=""/>
                    <m:grow/>
                  </m:dPr>
                  <m:e>
                    <m:r>
                      <m:t>0</m:t>
                    </m:r>
                    <m:r>
                      <m:rPr>
                        <m:sty m:val="p"/>
                      </m:rPr>
                      <m:t>,</m:t>
                    </m:r>
                    <m:r>
                      <m:t>1</m:t>
                    </m:r>
                  </m:e>
                </m:d>
              </m:e>
            </m:mr>
            <m:mr>
              <m:e>
                <m:sSub>
                  <m:e>
                    <m:r>
                      <m:t>β</m:t>
                    </m:r>
                  </m:e>
                  <m:sub>
                    <m:r>
                      <m:t>2</m:t>
                    </m:r>
                  </m:sub>
                </m:sSub>
                <m:r>
                  <m:rPr>
                    <m:sty m:val="p"/>
                  </m:rPr>
                  <m:t>∼</m:t>
                </m:r>
                <m:r>
                  <m:t>​</m:t>
                </m:r>
                <m:r>
                  <m:t>N</m:t>
                </m:r>
                <m:d>
                  <m:dPr>
                    <m:begChr m:val="("/>
                    <m:endChr m:val=")"/>
                    <m:sepChr m:val=""/>
                    <m:grow/>
                  </m:dPr>
                  <m:e>
                    <m:r>
                      <m:t>0</m:t>
                    </m:r>
                    <m:r>
                      <m:rPr>
                        <m:sty m:val="p"/>
                      </m:rPr>
                      <m:t>,</m:t>
                    </m:r>
                    <m:r>
                      <m:t>1</m:t>
                    </m:r>
                  </m:e>
                </m:d>
              </m:e>
            </m:mr>
            <m:mr>
              <m:e>
                <m:sSub>
                  <m:e>
                    <m:r>
                      <m:t>γ</m:t>
                    </m:r>
                  </m:e>
                  <m:sub>
                    <m:r>
                      <m:t>s</m:t>
                    </m:r>
                    <m:r>
                      <m:t>i</m:t>
                    </m:r>
                    <m:r>
                      <m:t>t</m:t>
                    </m:r>
                    <m:r>
                      <m:t>e</m:t>
                    </m:r>
                  </m:sub>
                </m:sSub>
                <m:r>
                  <m:rPr>
                    <m:sty m:val="p"/>
                  </m:rPr>
                  <m:t>∼</m:t>
                </m:r>
                <m:r>
                  <m:t>​</m:t>
                </m:r>
                <m:sSub>
                  <m:e>
                    <m:r>
                      <m:t>t</m:t>
                    </m:r>
                  </m:e>
                  <m:sub>
                    <m:r>
                      <m:t>​</m:t>
                    </m:r>
                  </m:sub>
                </m:sSub>
                <m:d>
                  <m:dPr>
                    <m:begChr m:val="("/>
                    <m:endChr m:val=")"/>
                    <m:sepChr m:val=""/>
                    <m:grow/>
                  </m:dPr>
                  <m:e>
                    <m:r>
                      <m:t>3</m:t>
                    </m:r>
                    <m:r>
                      <m:rPr>
                        <m:sty m:val="p"/>
                      </m:rPr>
                      <m:t>,</m:t>
                    </m:r>
                    <m:r>
                      <m:t>0</m:t>
                    </m:r>
                    <m:r>
                      <m:rPr>
                        <m:sty m:val="p"/>
                      </m:rPr>
                      <m:t>,</m:t>
                    </m:r>
                    <m:r>
                      <m:t>1</m:t>
                    </m:r>
                  </m:e>
                </m:d>
              </m:e>
            </m:mr>
            <m:mr>
              <m:e>
                <m:sSub>
                  <m:e>
                    <m:r>
                      <m:t>ϕ</m:t>
                    </m:r>
                  </m:e>
                  <m:sub>
                    <m:r>
                      <m:t>​</m:t>
                    </m:r>
                  </m:sub>
                </m:sSub>
                <m:r>
                  <m:rPr>
                    <m:sty m:val="p"/>
                  </m:rPr>
                  <m:t>∼</m:t>
                </m:r>
                <m:r>
                  <m:t>​</m:t>
                </m:r>
                <m:sSub>
                  <m:e>
                    <m:r>
                      <m:t>γ</m:t>
                    </m:r>
                  </m:e>
                  <m:sub>
                    <m:r>
                      <m:t>​</m:t>
                    </m:r>
                  </m:sub>
                </m:sSub>
                <m:d>
                  <m:dPr>
                    <m:begChr m:val="("/>
                    <m:endChr m:val=")"/>
                    <m:sepChr m:val=""/>
                    <m:grow/>
                  </m:dPr>
                  <m:e>
                    <m:r>
                      <m:t>1</m:t>
                    </m:r>
                    <m:r>
                      <m:rPr>
                        <m:sty m:val="p"/>
                      </m:rPr>
                      <m:t>,</m:t>
                    </m:r>
                    <m:r>
                      <m:t>0.1</m:t>
                    </m:r>
                  </m:e>
                </m:d>
              </m:e>
            </m:mr>
            <m:mr>
              <m:e/>
            </m:mr>
          </m:m>
          <m:r>
            <m:t>  </m:t>
          </m:r>
          <m:d>
            <m:dPr>
              <m:begChr m:val="("/>
              <m:endChr m:val=")"/>
              <m:sepChr m:val=""/>
              <m:grow/>
            </m:dPr>
            <m:e>
              <m:r>
                <m:t>1</m:t>
              </m:r>
            </m:e>
          </m:d>
        </m:oMath>
      </m:oMathPara>
      <w:bookmarkEnd w:id="36"/>
    </w:p>
    <w:bookmarkEnd w:id="37"/>
    <w:bookmarkEnd w:id="38"/>
    <w:bookmarkStart w:id="43" w:name="environmental-pressures"/>
    <w:p>
      <w:pPr>
        <w:pStyle w:val="Heading2"/>
      </w:pPr>
      <w:r>
        <w:t xml:space="preserve">Environmental Pressures</w:t>
      </w:r>
    </w:p>
    <w:bookmarkStart w:id="39" w:name="thermal-stress"/>
    <w:p>
      <w:pPr>
        <w:pStyle w:val="Heading3"/>
      </w:pPr>
      <w:r>
        <w:t xml:space="preserve">Thermal Stress</w:t>
      </w:r>
    </w:p>
    <w:p>
      <w:pPr>
        <w:pStyle w:val="FirstParagraph"/>
      </w:pPr>
      <w:r>
        <w:t xml:space="preserve">First observed in the early 1980s, mass coral bleaching has become one of the most visible and damaging impacts of climate change on marine ecosystems (Glynn, 1984; Hoegh-Guldberg, 1999). When water temperatures exceed the average maximum summer temperature for extended periods, corals can become thermally stressed, leading to coral bleaching and potentially death (Baker et al., 2008). Bleaching occurs when corals lose their symbiotic algae (zooxanthellae), which provide them with energy and their distinctive colors. Severe bleaching can lead to increased disease and mortality in corals (Hoegh-Guldberg, 1999). Over the past decade, coral bleaching events have become more frequent, extensive, and intense (Hughes et al., 2018).</w:t>
      </w:r>
    </w:p>
    <w:p>
      <w:pPr>
        <w:pStyle w:val="BodyText"/>
      </w:pPr>
      <w:r>
        <w:t xml:space="preserve">To monitor thermal stress, we use Degree Heating Weeks (DHW), calculated from satellite measurements of Sea Surface Temperature (SST) provided by NOAA Coral Reef Watch (Liu et al., 2014). DHW indicates the accumulated heat stress over the past 12 weeks (~3 months) and is a reliable predictor of coral bleaching. The units for DHW are</w:t>
      </w:r>
      <w:r>
        <w:t xml:space="preserve"> </w:t>
      </w:r>
      <w:r>
        <w:t xml:space="preserve">“degree C-weeks,”</w:t>
      </w:r>
      <w:r>
        <w:t xml:space="preserve"> </w:t>
      </w:r>
      <w:r>
        <w:t xml:space="preserve">combining the intensity and duration of heat stress. Research shows that when DHW reaches 4 degrees C-weeks or higher, widespread bleaching is often observed. At DHW levels above 8, significant coral mortality is typically evidenced (Liu et al., 2014).</w:t>
      </w:r>
    </w:p>
    <w:p>
      <w:pPr>
        <w:pStyle w:val="BodyText"/>
      </w:pPr>
      <w:r>
        <w:t xml:space="preserve">DHW is calculated by accumulating temperature readings that are more than one degree Celsius above the historical maximum monthly mean temperature for a given location. For example, if the temperature is 2°C above the summer maximum monthly mean for 4 weeks, the DHW value is 8 DHW (2°C x 4 weeks). The thermal stress is accumulated over a 12-week sliding window (Eakin et al., 2010).</w:t>
      </w:r>
    </w:p>
    <w:p>
      <w:pPr>
        <w:pStyle w:val="BodyText"/>
      </w:pPr>
      <w:r>
        <w:t xml:space="preserve">The data in this report was produced by ReefCloud.ai using NOAA’s Coral Reef Watch products to provide insights into thermal stress exposure for the reported region. NOAA’s Coral Reef Watch products are widely used and the longest operating DHW product. ReefCloud uses NOAA’s Annual Maximum Monthly Degree Heating Week, measured by daily global 5km satellite estimations of SST. Values are derived using the Version 3.1 daily global 5Km CoralTemp satellite SST data product.</w:t>
      </w:r>
    </w:p>
    <w:p>
      <w:pPr>
        <w:pStyle w:val="BodyText"/>
      </w:pPr>
      <w:r>
        <w:t xml:space="preserve">This report uses the proportion of reef exposed to moderate and severe levels of thermal stress from DHW. This proportion is calculated in ReefCloud using a combination of NOAA Coral Reef Watch DHW rasters with spatial information on the distribution of coral reefs in this region from the Allen Coral Atlas and the Global Distribution of Coral Reefs (WCWC-008) datasets. These datasets provide spatially explicit information on the location and area covered by coral reefs. When overlaid with the DHW, the ReefCloud data platform calculates the extent of reef area exposed to moderate (4-8 DHW), severe (&gt;8 DHW), or no major thermal stress (&lt;4 DHW).</w:t>
      </w:r>
    </w:p>
    <w:p>
      <w:pPr>
        <w:pStyle w:val="BodyText"/>
      </w:pPr>
      <w:r>
        <w:t xml:space="preserve">The thermal stress data layer is updated annually in ReefCloud as the data becomes available on the NOAA Coral Reef Watch data server.</w:t>
      </w:r>
    </w:p>
    <w:p>
      <w:pPr>
        <w:pStyle w:val="BodyText"/>
      </w:pPr>
      <w:r>
        <w:t xml:space="preserve">References: - Glynn, P. W. (1984). Widespread coral mortality and the 1982–83 El Niño warming event. Environmental Conservation, 11(2), 133-146. - Hoegh-Guldberg, O. (1999). Climate change, coral bleaching and the future of the world’s coral reefs. Marine and Freshwater Research, 50(8), 839-866. - Baker, A. C., Glynn, P. W., &amp; Riegl, B. (2008). Climate change and coral reef bleaching: An ecological assessment of long-term impacts, recovery trends and future outlook. Estuarine, Coastal and Shelf Science, 80(4), 435-471. - Hughes, T. P., et al. (2018). Global warming transforms coral reef assemblages. Nature, 556(7702), 492-496. - Liu, G., et al. (2014). Reef-scale thermal stress monitoring of coral ecosystems: New 5-km global products from NOAA Coral Reef Watch. Remote Sensing, 6(11), 11579-11606. - Eakin, C. M., et al. (2010). Monitoring coral reefs from space. Oceanography, 23(4), 118-133.</w:t>
      </w:r>
    </w:p>
    <w:bookmarkEnd w:id="39"/>
    <w:bookmarkStart w:id="42" w:name="tropical-cyclones"/>
    <w:p>
      <w:pPr>
        <w:pStyle w:val="Heading3"/>
      </w:pPr>
      <w:r>
        <w:t xml:space="preserve">Tropical Cyclones</w:t>
      </w:r>
    </w:p>
    <w:p>
      <w:pPr>
        <w:pStyle w:val="FirstParagraph"/>
      </w:pPr>
      <w:r>
        <w:t xml:space="preserve">A tropical cyclone is a rapidly rotating storm system with low atmospheric pressure at its calm center (i.e., eye), inward spiraling rainbands, and strong winds that form in areas of sufficiently warm sea surface temperature in the world’s tropical regions. In the southern hemisphere, these tropical storms are called cyclones and rotate in a clockwise direction. In the northern hemisphere, cyclones are called hurricanes (western hemisphere) or typhoons (eastern hemisphere) and rotate in an anti-clockwise direction. If sufficiently long-lasting, the extreme winds generated by these storms can build powerful waves which can severely damage coral reefs and shorelines.</w:t>
      </w:r>
    </w:p>
    <w:p>
      <w:pPr>
        <w:pStyle w:val="BodyText"/>
      </w:pPr>
      <w:r>
        <w:t xml:space="preserve">By modeling where extreme waves could form during a given cyclone, it is possible to predict a cyclone</w:t>
      </w:r>
      <w:r>
        <w:t xml:space="preserve"> </w:t>
      </w:r>
      <w:r>
        <w:t xml:space="preserve">“damage zone”</w:t>
      </w:r>
      <w:r>
        <w:t xml:space="preserve"> </w:t>
      </w:r>
      <w:r>
        <w:t xml:space="preserve">beyond which major damage to reefs will not likely occur. This zone is defined as the area within which the average height of the top one-third of the waves likely meets or exceeds four (4) meters (Hs - significant wave height). Here, we call this the 4MW (Hs &gt;= 4m) zone. Field data from 8 past cyclones in the Great Barrier Reef and Western Australia has shown such zones perform well at capturing severe damage - noting that because reef vulnerability is highly variable at &lt;1 km scales, some parts of the reefs within the damage zone will not be damaged. Mapping the 4MW cyclone damage zone helps reef managers to: 1) spatially target management responses after major tropical cyclones to promote recovery at severely damaged sites, and 2) identify spatial patterns in historic cyclone exposure to explain habitat condition trajectories.</w:t>
      </w:r>
    </w:p>
    <w:p>
      <w:pPr>
        <w:pStyle w:val="BodyText"/>
      </w:pPr>
      <w:r>
        <w:t xml:space="preserve">The data presented here for tropical cyclones is sourced from ReefCloud.ai. ReefCloud aims to source the most accurate data available for the regions impacted by cyclones every year. This means that the platform collates data from various databases to provide the best insights possible on the estimated damage zone from tropical cyclones in a given region. For cyclones within the Australian Exclusive Economic Zone, ReefCloud sources data provided by the</w:t>
      </w:r>
      <w:r>
        <w:t xml:space="preserve"> </w:t>
      </w:r>
      <w:hyperlink r:id="rId40">
        <w:r>
          <w:rPr>
            <w:rStyle w:val="Hyperlink"/>
          </w:rPr>
          <w:t xml:space="preserve">Australian Bureau of Meteorology’s cyclone database</w:t>
        </w:r>
      </w:hyperlink>
      <w:r>
        <w:t xml:space="preserve">. For other regions outside Australia, ReefCloud uses data sourced from the</w:t>
      </w:r>
      <w:r>
        <w:t xml:space="preserve"> </w:t>
      </w:r>
      <w:hyperlink r:id="rId41">
        <w:r>
          <w:rPr>
            <w:rStyle w:val="Hyperlink"/>
          </w:rPr>
          <w:t xml:space="preserve">International Best Track Archive for Climate Stewardship</w:t>
        </w:r>
      </w:hyperlink>
      <w:r>
        <w:t xml:space="preserve">.</w:t>
      </w:r>
    </w:p>
    <w:p>
      <w:pPr>
        <w:pStyle w:val="BodyText"/>
      </w:pPr>
      <w:r>
        <w:t xml:space="preserve">Once formed, tropical cyclones are remarkably predictable and well-organized storm systems, making it possible to reconstruct the spatial distribution of winds and waves around the eye to build predicted wind and wave fields from a short list of input data that is freely available in the meteorological databases mentioned above (location of the eye, central and ambient air pressure, size of the eye, size of the cyclone, and cyclone forward speed and direction). The 4MW damage zone model (Puotinen et al., 2016) was used to generate the damage zone. This model uses this base data to reconstruct the spatial distribution of wind speeds around the cyclone eye every hour along its track. It then searches in each location across the study area for locations where wind speeds were sufficiently high and long-lasting to build significant wave heights equal to or above four (4) meters. The model summarizes the data by recording the number of hours for which such conditions persisted. The resultant 4MW cyclone damage zone predicts the locations where sufficient wave energy could cause major damage to coral reefs.</w:t>
      </w:r>
    </w:p>
    <w:bookmarkEnd w:id="42"/>
    <w:bookmarkEnd w:id="43"/>
    <w:bookmarkStart w:id="44" w:name="regional-trends-on-hard-coral-cover"/>
    <w:p>
      <w:pPr>
        <w:pStyle w:val="Heading2"/>
      </w:pPr>
      <w:r>
        <w:t xml:space="preserve">Regional trends on hard coral cover</w:t>
      </w:r>
    </w:p>
    <w:p>
      <w:r>
        <w:br w:type="page"/>
      </w:r>
    </w:p>
    <w:bookmarkEnd w:id="44"/>
    <w:bookmarkEnd w:id="45"/>
    <w:bookmarkStart w:id="64" w:name="results"/>
    <w:p>
      <w:pPr>
        <w:pStyle w:val="Heading1"/>
      </w:pPr>
      <w:r>
        <w:t xml:space="preserve">Results</w:t>
      </w:r>
    </w:p>
    <w:bookmarkStart w:id="51" w:name="Xdf523afb1f5e1cea8dc01298bc0bb217c5dba0b"/>
    <w:p>
      <w:pPr>
        <w:pStyle w:val="Heading2"/>
      </w:pPr>
      <w:r>
        <w:t xml:space="preserve">Status of coral reef habitats in Burdekin NRM</w:t>
      </w:r>
    </w:p>
    <w:tbl>
      <w:tblPr>
        <w:tblStyle w:val="Table"/>
        <w:tblW w:type="pct" w:w="5000"/>
        <w:tblLayout w:type="fixed"/>
        <w:tblLook w:firstRow="0" w:lastRow="0" w:firstColumn="0" w:lastColumn="0" w:noHBand="0" w:noVBand="0" w:val="0000"/>
      </w:tblPr>
      <w:tblGrid>
        <w:gridCol w:w="7920"/>
      </w:tblGrid>
      <w:tr>
        <w:tc>
          <w:tcPr/>
          <w:bookmarkStart w:id="49" w:name="fig-waffle"/>
          <w:p>
            <w:pPr>
              <w:pStyle w:val="Compact"/>
              <w:jc w:val="center"/>
            </w:pPr>
            <w:r>
              <w:drawing>
                <wp:inline>
                  <wp:extent cx="5334000" cy="5334000"/>
                  <wp:effectExtent b="0" l="0" r="0" t="0"/>
                  <wp:docPr descr="" title="" id="47" name="Picture"/>
                  <a:graphic>
                    <a:graphicData uri="http://schemas.openxmlformats.org/drawingml/2006/picture">
                      <pic:pic>
                        <pic:nvPicPr>
                          <pic:cNvPr descr="figures/SiteCondition_HARD%20CORAL.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monitored reef sites within the region withing condition classifications based on coral cover range: A = &gt;50% cover, B = 30-50% cover, C = 10-30% cover, D= &lt;10 % cover.</w:t>
            </w:r>
          </w:p>
          <w:bookmarkEnd w:id="49"/>
        </w:tc>
      </w:tr>
    </w:tbl>
    <w:bookmarkStart w:id="50" w:name="summary"/>
    <w:p>
      <w:pPr>
        <w:pStyle w:val="Heading4"/>
      </w:pPr>
      <w:r>
        <w:t xml:space="preserve">Summary:</w:t>
      </w:r>
    </w:p>
    <w:p>
      <w:pPr>
        <w:pStyle w:val="Compact"/>
        <w:numPr>
          <w:ilvl w:val="0"/>
          <w:numId w:val="1002"/>
        </w:numPr>
      </w:pPr>
      <w:r>
        <w:t xml:space="preserve">In 2025, 67% of a total of 66 monitored reef sites exhibited Hard Coral within 0 - 10 % (</w:t>
      </w:r>
      <w:hyperlink w:anchor="fig-waffle">
        <w:r>
          <w:rPr>
            <w:rStyle w:val="Hyperlink"/>
          </w:rPr>
          <w:t xml:space="preserve">Figure 2</w:t>
        </w:r>
      </w:hyperlink>
      <w:r>
        <w:t xml:space="preserve">)</w:t>
      </w:r>
    </w:p>
    <w:p>
      <w:r>
        <w:br w:type="page"/>
      </w:r>
    </w:p>
    <w:bookmarkEnd w:id="50"/>
    <w:bookmarkEnd w:id="51"/>
    <w:bookmarkStart w:id="57" w:name="recent-environmental-disturbances"/>
    <w:p>
      <w:pPr>
        <w:pStyle w:val="Heading2"/>
      </w:pPr>
      <w:r>
        <w:t xml:space="preserve">Recent Environmental Disturbances</w:t>
      </w:r>
    </w:p>
    <w:tbl>
      <w:tblPr>
        <w:tblStyle w:val="Table"/>
        <w:tblW w:type="pct" w:w="5000"/>
        <w:tblLayout w:type="fixed"/>
        <w:tblLook w:firstRow="0" w:lastRow="0" w:firstColumn="0" w:lastColumn="0" w:noHBand="0" w:noVBand="0" w:val="0000"/>
      </w:tblPr>
      <w:tblGrid>
        <w:gridCol w:w="7920"/>
      </w:tblGrid>
      <w:tr>
        <w:tc>
          <w:tcPr/>
          <w:bookmarkStart w:id="55" w:name="fig-env_dist"/>
          <w:p>
            <w:pPr>
              <w:pStyle w:val="Compact"/>
              <w:jc w:val="center"/>
            </w:pPr>
            <w:r>
              <w:drawing>
                <wp:inline>
                  <wp:extent cx="5334000" cy="2667000"/>
                  <wp:effectExtent b="0" l="0" r="0" t="0"/>
                  <wp:docPr descr="" title="" id="53" name="Picture"/>
                  <a:graphic>
                    <a:graphicData uri="http://schemas.openxmlformats.org/drawingml/2006/picture">
                      <pic:pic>
                        <pic:nvPicPr>
                          <pic:cNvPr descr="figures/Disturbance_impact.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reef area within the region affected by environmental pressures during the reporting year</w:t>
            </w:r>
          </w:p>
          <w:bookmarkEnd w:id="55"/>
        </w:tc>
      </w:tr>
    </w:tbl>
    <w:bookmarkStart w:id="56" w:name="summary-1"/>
    <w:p>
      <w:pPr>
        <w:pStyle w:val="Heading4"/>
      </w:pPr>
      <w:r>
        <w:t xml:space="preserve">Summary:</w:t>
      </w:r>
    </w:p>
    <w:p>
      <w:pPr>
        <w:pStyle w:val="Compact"/>
        <w:numPr>
          <w:ilvl w:val="0"/>
          <w:numId w:val="1003"/>
        </w:numPr>
      </w:pPr>
      <w:r>
        <w:t xml:space="preserve">xxx</w:t>
      </w:r>
    </w:p>
    <w:p>
      <w:pPr>
        <w:pStyle w:val="Compact"/>
        <w:numPr>
          <w:ilvl w:val="0"/>
          <w:numId w:val="1003"/>
        </w:numPr>
      </w:pPr>
      <w:r>
        <w:t xml:space="preserve">yyyy</w:t>
      </w:r>
    </w:p>
    <w:p>
      <w:r>
        <w:br w:type="page"/>
      </w:r>
    </w:p>
    <w:bookmarkEnd w:id="56"/>
    <w:bookmarkEnd w:id="57"/>
    <w:bookmarkStart w:id="63" w:name="temporal-trends"/>
    <w:p>
      <w:pPr>
        <w:pStyle w:val="Heading2"/>
      </w:pPr>
      <w:r>
        <w:t xml:space="preserve">Temporal trends</w:t>
      </w:r>
    </w:p>
    <w:tbl>
      <w:tblPr>
        <w:tblStyle w:val="Table"/>
        <w:tblW w:type="pct" w:w="5000"/>
        <w:tblLayout w:type="fixed"/>
        <w:tblLook w:firstRow="0" w:lastRow="0" w:firstColumn="0" w:lastColumn="0" w:noHBand="0" w:noVBand="0" w:val="0000"/>
      </w:tblPr>
      <w:tblGrid>
        <w:gridCol w:w="7920"/>
      </w:tblGrid>
      <w:tr>
        <w:tc>
          <w:tcPr/>
          <w:bookmarkStart w:id="61" w:name="fig-temp_trend"/>
          <w:p>
            <w:pPr>
              <w:pStyle w:val="Compact"/>
              <w:jc w:val="center"/>
            </w:pPr>
            <w:r>
              <w:drawing>
                <wp:inline>
                  <wp:extent cx="5334000" cy="4667249"/>
                  <wp:effectExtent b="0" l="0" r="0" t="0"/>
                  <wp:docPr descr="" title="" id="59" name="Picture"/>
                  <a:graphic>
                    <a:graphicData uri="http://schemas.openxmlformats.org/drawingml/2006/picture">
                      <pic:pic>
                        <pic:nvPicPr>
                          <pic:cNvPr descr="figures/temporal_HardCoral_cover.png" id="60" name="Picture"/>
                          <pic:cNvPicPr>
                            <a:picLocks noChangeArrowheads="1" noChangeAspect="1"/>
                          </pic:cNvPicPr>
                        </pic:nvPicPr>
                        <pic:blipFill>
                          <a:blip r:embed="rId58"/>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trends on hard coral cover for the studied region</w:t>
            </w:r>
          </w:p>
          <w:bookmarkEnd w:id="61"/>
        </w:tc>
      </w:tr>
    </w:tbl>
    <w:bookmarkStart w:id="62" w:name="summary-2"/>
    <w:p>
      <w:pPr>
        <w:pStyle w:val="Heading4"/>
      </w:pPr>
      <w:r>
        <w:t xml:space="preserve">Summary:</w:t>
      </w:r>
    </w:p>
    <w:p>
      <w:pPr>
        <w:pStyle w:val="Compact"/>
        <w:numPr>
          <w:ilvl w:val="0"/>
          <w:numId w:val="1004"/>
        </w:numPr>
      </w:pPr>
      <w:r>
        <w:t xml:space="preserve">by 2025, the Hard Coral cover in Burdekin NRM was estimated to be 21, varying across the region between 3 and 52.</w:t>
      </w:r>
    </w:p>
    <w:p>
      <w:pPr>
        <w:pStyle w:val="Compact"/>
        <w:numPr>
          <w:ilvl w:val="0"/>
          <w:numId w:val="1004"/>
        </w:numPr>
      </w:pPr>
      <w:r>
        <w:t xml:space="preserve">Compared to the earliest monitoring record for this region in ReefCloud, hard coral cover has changed from 15 in 2007 to 21 in 2025.</w:t>
      </w:r>
    </w:p>
    <w:p>
      <w:pPr>
        <w:pStyle w:val="Compact"/>
        <w:numPr>
          <w:ilvl w:val="0"/>
          <w:numId w:val="1004"/>
        </w:numPr>
      </w:pPr>
      <w:r>
        <w:t xml:space="preserve">Over the reported period (2007 to 2025), XX severe environmental disturbances affected the region. XX Tropical Cyclones and XX Marine Heatwaves impacted coral reefs in Burdekin NRM.</w:t>
      </w:r>
    </w:p>
    <w:p>
      <w:r>
        <w:br w:type="page"/>
      </w:r>
    </w:p>
    <w:bookmarkEnd w:id="62"/>
    <w:bookmarkEnd w:id="63"/>
    <w:bookmarkEnd w:id="64"/>
    <w:bookmarkStart w:id="65" w:name="interpretation-notes"/>
    <w:p>
      <w:pPr>
        <w:pStyle w:val="Heading1"/>
      </w:pPr>
      <w:r>
        <w:t xml:space="preserve">Interpretation Notes</w:t>
      </w:r>
    </w:p>
    <w:p>
      <w:r>
        <w:br w:type="page"/>
      </w:r>
    </w:p>
    <w:bookmarkEnd w:id="65"/>
    <w:bookmarkStart w:id="66" w:name="references"/>
    <w:p>
      <w:pPr>
        <w:pStyle w:val="Heading1"/>
      </w:pPr>
      <w:r>
        <w:t xml:space="preserve">References</w:t>
      </w:r>
    </w:p>
    <w:p>
      <w:pPr>
        <w:pStyle w:val="Compact"/>
        <w:numPr>
          <w:ilvl w:val="0"/>
          <w:numId w:val="1005"/>
        </w:numPr>
      </w:pPr>
      <w:r>
        <w:t xml:space="preserve">Hoegh-Guldberg, O., et al. (2007). Coral reefs under rapid climate change and ocean acidification. Science, 318(5857), 1737-1742.</w:t>
      </w:r>
    </w:p>
    <w:p>
      <w:pPr>
        <w:pStyle w:val="Compact"/>
        <w:numPr>
          <w:ilvl w:val="0"/>
          <w:numId w:val="1005"/>
        </w:numPr>
      </w:pPr>
      <w:r>
        <w:t xml:space="preserve">Hughes, T. P., et al. (2017). Global warming and recurrent mass bleaching of corals. Nature, 543(7645), 373-377.</w:t>
      </w:r>
    </w:p>
    <w:p>
      <w:pPr>
        <w:pStyle w:val="Compact"/>
        <w:numPr>
          <w:ilvl w:val="0"/>
          <w:numId w:val="1005"/>
        </w:numPr>
      </w:pPr>
      <w:r>
        <w:t xml:space="preserve">Bruno, J. F., &amp; Selig, E. R. (2007). Regional decline of coral cover in the Indo-Pacific: Timing, extent, and subregional comparisons. PLoS ONE, 2(8), e711.</w:t>
      </w:r>
    </w:p>
    <w:p>
      <w:pPr>
        <w:pStyle w:val="Compact"/>
        <w:numPr>
          <w:ilvl w:val="0"/>
          <w:numId w:val="1005"/>
        </w:numPr>
      </w:pPr>
      <w:r>
        <w:t xml:space="preserve">McClanahan, T. R., et al. (2012). Critical thresholds and tangible targets for ecosystem-based management of coral reef fisheries. Proceedings of the National Academy of Sciences, 109(41), 16282-16287.</w:t>
      </w:r>
    </w:p>
    <w:p>
      <w:pPr>
        <w:pStyle w:val="Compact"/>
        <w:numPr>
          <w:ilvl w:val="0"/>
          <w:numId w:val="1005"/>
        </w:numPr>
      </w:pPr>
      <w:r>
        <w:t xml:space="preserve">Glynn, P. W. (1984). Widespread coral mortality and the 1982–83 El Niño warming event. Environmental Conservation, 11(2), 133-146.</w:t>
      </w:r>
    </w:p>
    <w:p>
      <w:pPr>
        <w:pStyle w:val="Compact"/>
        <w:numPr>
          <w:ilvl w:val="0"/>
          <w:numId w:val="1005"/>
        </w:numPr>
      </w:pPr>
      <w:r>
        <w:t xml:space="preserve">Hoegh-Guldberg, O. (1999). Climate change, coral bleaching and the future of the world’s coral reefs. Marine and Freshwater Research, 50(8), 839-866.</w:t>
      </w:r>
    </w:p>
    <w:p>
      <w:pPr>
        <w:pStyle w:val="Compact"/>
        <w:numPr>
          <w:ilvl w:val="0"/>
          <w:numId w:val="1005"/>
        </w:numPr>
      </w:pPr>
      <w:r>
        <w:t xml:space="preserve">Baker, A. C., Glynn, P. W., &amp; Riegl, B. (2008). Climate change and coral reef bleaching: An ecological assessment of long-term impacts, recovery trends and future outlook. Estuarine, Coastal and Shelf Science, 80(4), 435-471.</w:t>
      </w:r>
    </w:p>
    <w:p>
      <w:pPr>
        <w:pStyle w:val="Compact"/>
        <w:numPr>
          <w:ilvl w:val="0"/>
          <w:numId w:val="1005"/>
        </w:numPr>
      </w:pPr>
      <w:r>
        <w:t xml:space="preserve">Hughes, T. P., et al. (2018). Global warming transforms coral reef assemblages. Nature, 556(7702), 492-496.</w:t>
      </w:r>
    </w:p>
    <w:p>
      <w:pPr>
        <w:pStyle w:val="Compact"/>
        <w:numPr>
          <w:ilvl w:val="0"/>
          <w:numId w:val="1005"/>
        </w:numPr>
      </w:pPr>
      <w:r>
        <w:t xml:space="preserve">Liu, G., et al. (2014). Reef-scale thermal stress monitoring of coral ecosystems: New 5-km global products from NOAA Coral Reef Watch. Remote Sensing, 6(11), 11579-11606.</w:t>
      </w:r>
    </w:p>
    <w:p>
      <w:pPr>
        <w:pStyle w:val="Compact"/>
        <w:numPr>
          <w:ilvl w:val="0"/>
          <w:numId w:val="1005"/>
        </w:numPr>
      </w:pPr>
      <w:r>
        <w:t xml:space="preserve">Eakin, C. M., et al. (2010). Monitoring coral reefs from space. Oceanography, 23(4), 118-133.</w:t>
      </w:r>
    </w:p>
    <w:p>
      <w:r>
        <w:br w:type="page"/>
      </w:r>
    </w:p>
    <w:bookmarkEnd w:id="66"/>
    <w:bookmarkStart w:id="75" w:name="suppementary-materials"/>
    <w:p>
      <w:pPr>
        <w:pStyle w:val="Heading1"/>
      </w:pPr>
      <w:r>
        <w:t xml:space="preserve">Suppementary Materials</w:t>
      </w:r>
    </w:p>
    <w:bookmarkStart w:id="68" w:name="site-description"/>
    <w:p>
      <w:pPr>
        <w:pStyle w:val="Heading2"/>
      </w:pPr>
      <w:r>
        <w:t xml:space="preserve">Site description</w:t>
      </w:r>
    </w:p>
    <w:tbl>
      <w:tblPr>
        <w:tblStyle w:val="Table"/>
        <w:tblW w:type="pct" w:w="5000"/>
        <w:tblLayout w:type="fixed"/>
        <w:tblLook w:firstRow="0" w:lastRow="0" w:firstColumn="0" w:lastColumn="0" w:noHBand="0" w:noVBand="0" w:val="0000"/>
      </w:tblPr>
      <w:tblGrid>
        <w:gridCol w:w="7920"/>
      </w:tblGrid>
      <w:tr>
        <w:tc>
          <w:tcPr/>
          <w:bookmarkStart w:id="67" w:name="tbl-surveyed_sites"/>
          <w:p>
            <w:pPr>
              <w:jc w:val="center"/>
            </w:pPr>
            <w:pPr>
              <w:jc w:val="start"/>
              <w:spacing w:before="200"/>
              <w:pStyle w:val="ImageCaption"/>
            </w:pPr>
            <w:r>
              <w:t xml:space="preserve">Table 1: Monitoring site information</w:t>
            </w:r>
          </w:p>
          <w:tbl>
            <w:tblPr>
              <w:tblStyle w:val="Table"/>
              <w:tblW w:type="pct" w:w="5000"/>
              <w:tblLayout w:type="fixed"/>
              <w:tblLook w:firstRow="1" w:lastRow="0" w:firstColumn="0" w:lastColumn="0" w:noHBand="0" w:noVBand="0" w:val="0020"/>
            </w:tblPr>
            <w:tblGrid>
              <w:gridCol w:w="4820"/>
              <w:gridCol w:w="1147"/>
              <w:gridCol w:w="1147"/>
              <w:gridCol w:w="803"/>
            </w:tblGrid>
            <w:tr>
              <w:trPr>
                <w:tblHeader w:val="on"/>
              </w:trPr>
              <w:tc>
                <w:tcPr/>
                <w:p>
                  <w:pPr>
                    <w:pStyle w:val="Compact"/>
                    <w:jc w:val="left"/>
                    <w:jc w:val="center"/>
                  </w:pPr>
                  <w:r>
                    <w:t xml:space="preserve">Name</w:t>
                  </w:r>
                </w:p>
              </w:tc>
              <w:tc>
                <w:tcPr/>
                <w:p>
                  <w:pPr>
                    <w:pStyle w:val="Compact"/>
                    <w:jc w:val="left"/>
                    <w:jc w:val="center"/>
                  </w:pPr>
                  <w:r>
                    <w:t xml:space="preserve">Longitude</w:t>
                  </w:r>
                </w:p>
              </w:tc>
              <w:tc>
                <w:tcPr/>
                <w:p>
                  <w:pPr>
                    <w:pStyle w:val="Compact"/>
                    <w:jc w:val="left"/>
                    <w:jc w:val="center"/>
                  </w:pPr>
                  <w:r>
                    <w:t xml:space="preserve">Latitude</w:t>
                  </w:r>
                </w:p>
              </w:tc>
              <w:tc>
                <w:tcPr/>
                <w:p>
                  <w:pPr>
                    <w:pStyle w:val="Compact"/>
                    <w:jc w:val="left"/>
                    <w:jc w:val="center"/>
                  </w:pPr>
                  <w:r>
                    <w:t xml:space="preserve">Images</w:t>
                  </w:r>
                </w:p>
              </w:tc>
            </w:tr>
            <w:tr>
              <w:tc>
                <w:tcPr/>
                <w:p>
                  <w:pPr>
                    <w:pStyle w:val="Compact"/>
                    <w:jc w:val="left"/>
                    <w:jc w:val="center"/>
                  </w:pPr>
                  <w:r>
                    <w:t xml:space="preserve">11001</w:t>
                  </w:r>
                </w:p>
              </w:tc>
              <w:tc>
                <w:tcPr/>
                <w:p>
                  <w:pPr>
                    <w:pStyle w:val="Compact"/>
                    <w:jc w:val="left"/>
                    <w:jc w:val="center"/>
                  </w:pPr>
                  <w:r>
                    <w:t xml:space="preserve">147.6630</w:t>
                  </w:r>
                </w:p>
              </w:tc>
              <w:tc>
                <w:tcPr/>
                <w:p>
                  <w:pPr>
                    <w:pStyle w:val="Compact"/>
                    <w:jc w:val="left"/>
                    <w:jc w:val="center"/>
                  </w:pPr>
                  <w:r>
                    <w:t xml:space="preserve">-18.80402</w:t>
                  </w:r>
                </w:p>
              </w:tc>
              <w:tc>
                <w:tcPr/>
                <w:p>
                  <w:pPr>
                    <w:pStyle w:val="Compact"/>
                    <w:jc w:val="left"/>
                    <w:jc w:val="center"/>
                  </w:pPr>
                  <w:r>
                    <w:t xml:space="preserve">3442</w:t>
                  </w:r>
                </w:p>
              </w:tc>
            </w:tr>
            <w:tr>
              <w:tc>
                <w:tcPr/>
                <w:p>
                  <w:pPr>
                    <w:pStyle w:val="Compact"/>
                    <w:jc w:val="left"/>
                    <w:jc w:val="center"/>
                  </w:pPr>
                  <w:r>
                    <w:t xml:space="preserve">11007</w:t>
                  </w:r>
                </w:p>
              </w:tc>
              <w:tc>
                <w:tcPr/>
                <w:p>
                  <w:pPr>
                    <w:pStyle w:val="Compact"/>
                    <w:jc w:val="left"/>
                    <w:jc w:val="center"/>
                  </w:pPr>
                  <w:r>
                    <w:t xml:space="preserve">147.5808</w:t>
                  </w:r>
                </w:p>
              </w:tc>
              <w:tc>
                <w:tcPr/>
                <w:p>
                  <w:pPr>
                    <w:pStyle w:val="Compact"/>
                    <w:jc w:val="left"/>
                    <w:jc w:val="center"/>
                  </w:pPr>
                  <w:r>
                    <w:t xml:space="preserve">-18.57564</w:t>
                  </w:r>
                </w:p>
              </w:tc>
              <w:tc>
                <w:tcPr/>
                <w:p>
                  <w:pPr>
                    <w:pStyle w:val="Compact"/>
                    <w:jc w:val="left"/>
                    <w:jc w:val="center"/>
                  </w:pPr>
                  <w:r>
                    <w:t xml:space="preserve">698</w:t>
                  </w:r>
                </w:p>
              </w:tc>
            </w:tr>
            <w:tr>
              <w:tc>
                <w:tcPr/>
                <w:p>
                  <w:pPr>
                    <w:pStyle w:val="Compact"/>
                    <w:jc w:val="left"/>
                    <w:jc w:val="center"/>
                  </w:pPr>
                  <w:r>
                    <w:t xml:space="preserve">11005</w:t>
                  </w:r>
                </w:p>
              </w:tc>
              <w:tc>
                <w:tcPr/>
                <w:p>
                  <w:pPr>
                    <w:pStyle w:val="Compact"/>
                    <w:jc w:val="left"/>
                    <w:jc w:val="center"/>
                  </w:pPr>
                  <w:r>
                    <w:t xml:space="preserve">147.5642</w:t>
                  </w:r>
                </w:p>
              </w:tc>
              <w:tc>
                <w:tcPr/>
                <w:p>
                  <w:pPr>
                    <w:pStyle w:val="Compact"/>
                    <w:jc w:val="left"/>
                    <w:jc w:val="center"/>
                  </w:pPr>
                  <w:r>
                    <w:t xml:space="preserve">-18.59083</w:t>
                  </w:r>
                </w:p>
              </w:tc>
              <w:tc>
                <w:tcPr/>
                <w:p>
                  <w:pPr>
                    <w:pStyle w:val="Compact"/>
                    <w:jc w:val="left"/>
                    <w:jc w:val="center"/>
                  </w:pPr>
                  <w:r>
                    <w:t xml:space="preserve">750</w:t>
                  </w:r>
                </w:p>
              </w:tc>
            </w:tr>
            <w:tr>
              <w:tc>
                <w:tcPr/>
                <w:p>
                  <w:pPr>
                    <w:pStyle w:val="Compact"/>
                    <w:jc w:val="left"/>
                    <w:jc w:val="center"/>
                  </w:pPr>
                  <w:r>
                    <w:t xml:space="preserve">11002</w:t>
                  </w:r>
                </w:p>
              </w:tc>
              <w:tc>
                <w:tcPr/>
                <w:p>
                  <w:pPr>
                    <w:pStyle w:val="Compact"/>
                    <w:jc w:val="left"/>
                    <w:jc w:val="center"/>
                  </w:pPr>
                  <w:r>
                    <w:t xml:space="preserve">147.6468</w:t>
                  </w:r>
                </w:p>
              </w:tc>
              <w:tc>
                <w:tcPr/>
                <w:p>
                  <w:pPr>
                    <w:pStyle w:val="Compact"/>
                    <w:jc w:val="left"/>
                    <w:jc w:val="center"/>
                  </w:pPr>
                  <w:r>
                    <w:t xml:space="preserve">-18.83965</w:t>
                  </w:r>
                </w:p>
              </w:tc>
              <w:tc>
                <w:tcPr/>
                <w:p>
                  <w:pPr>
                    <w:pStyle w:val="Compact"/>
                    <w:jc w:val="left"/>
                    <w:jc w:val="center"/>
                  </w:pPr>
                  <w:r>
                    <w:t xml:space="preserve">1536</w:t>
                  </w:r>
                </w:p>
              </w:tc>
            </w:tr>
            <w:tr>
              <w:tc>
                <w:tcPr/>
                <w:p>
                  <w:pPr>
                    <w:pStyle w:val="Compact"/>
                    <w:jc w:val="left"/>
                    <w:jc w:val="center"/>
                  </w:pPr>
                  <w:r>
                    <w:t xml:space="preserve">11003</w:t>
                  </w:r>
                </w:p>
              </w:tc>
              <w:tc>
                <w:tcPr/>
                <w:p>
                  <w:pPr>
                    <w:pStyle w:val="Compact"/>
                    <w:jc w:val="left"/>
                    <w:jc w:val="center"/>
                  </w:pPr>
                  <w:r>
                    <w:t xml:space="preserve">147.7218</w:t>
                  </w:r>
                </w:p>
              </w:tc>
              <w:tc>
                <w:tcPr/>
                <w:p>
                  <w:pPr>
                    <w:pStyle w:val="Compact"/>
                    <w:jc w:val="left"/>
                    <w:jc w:val="center"/>
                  </w:pPr>
                  <w:r>
                    <w:t xml:space="preserve">-18.65399</w:t>
                  </w:r>
                </w:p>
              </w:tc>
              <w:tc>
                <w:tcPr/>
                <w:p>
                  <w:pPr>
                    <w:pStyle w:val="Compact"/>
                    <w:jc w:val="left"/>
                    <w:jc w:val="center"/>
                  </w:pPr>
                  <w:r>
                    <w:t xml:space="preserve">4758</w:t>
                  </w:r>
                </w:p>
              </w:tc>
            </w:tr>
            <w:tr>
              <w:tc>
                <w:tcPr/>
                <w:p>
                  <w:pPr>
                    <w:pStyle w:val="Compact"/>
                    <w:jc w:val="left"/>
                    <w:jc w:val="center"/>
                  </w:pPr>
                  <w:r>
                    <w:t xml:space="preserve">11006</w:t>
                  </w:r>
                </w:p>
              </w:tc>
              <w:tc>
                <w:tcPr/>
                <w:p>
                  <w:pPr>
                    <w:pStyle w:val="Compact"/>
                    <w:jc w:val="left"/>
                    <w:jc w:val="center"/>
                  </w:pPr>
                  <w:r>
                    <w:t xml:space="preserve">147.5734</w:t>
                  </w:r>
                </w:p>
              </w:tc>
              <w:tc>
                <w:tcPr/>
                <w:p>
                  <w:pPr>
                    <w:pStyle w:val="Compact"/>
                    <w:jc w:val="left"/>
                    <w:jc w:val="center"/>
                  </w:pPr>
                  <w:r>
                    <w:t xml:space="preserve">-18.58676</w:t>
                  </w:r>
                </w:p>
              </w:tc>
              <w:tc>
                <w:tcPr/>
                <w:p>
                  <w:pPr>
                    <w:pStyle w:val="Compact"/>
                    <w:jc w:val="left"/>
                    <w:jc w:val="center"/>
                  </w:pPr>
                  <w:r>
                    <w:t xml:space="preserve">5007</w:t>
                  </w:r>
                </w:p>
              </w:tc>
            </w:tr>
            <w:tr>
              <w:tc>
                <w:tcPr/>
                <w:p>
                  <w:pPr>
                    <w:pStyle w:val="Compact"/>
                    <w:jc w:val="left"/>
                    <w:jc w:val="center"/>
                  </w:pPr>
                  <w:r>
                    <w:t xml:space="preserve">11004</w:t>
                  </w:r>
                </w:p>
              </w:tc>
              <w:tc>
                <w:tcPr/>
                <w:p>
                  <w:pPr>
                    <w:pStyle w:val="Compact"/>
                    <w:jc w:val="left"/>
                    <w:jc w:val="center"/>
                  </w:pPr>
                  <w:r>
                    <w:t xml:space="preserve">147.7167</w:t>
                  </w:r>
                </w:p>
              </w:tc>
              <w:tc>
                <w:tcPr/>
                <w:p>
                  <w:pPr>
                    <w:pStyle w:val="Compact"/>
                    <w:jc w:val="left"/>
                    <w:jc w:val="center"/>
                  </w:pPr>
                  <w:r>
                    <w:t xml:space="preserve">-18.66860</w:t>
                  </w:r>
                </w:p>
              </w:tc>
              <w:tc>
                <w:tcPr/>
                <w:p>
                  <w:pPr>
                    <w:pStyle w:val="Compact"/>
                    <w:jc w:val="left"/>
                    <w:jc w:val="center"/>
                  </w:pPr>
                  <w:r>
                    <w:t xml:space="preserve">1504</w:t>
                  </w:r>
                </w:p>
              </w:tc>
            </w:tr>
            <w:tr>
              <w:tc>
                <w:tcPr/>
                <w:p>
                  <w:pPr>
                    <w:pStyle w:val="Compact"/>
                    <w:jc w:val="left"/>
                    <w:jc w:val="center"/>
                  </w:pPr>
                  <w:r>
                    <w:t xml:space="preserve">10024</w:t>
                  </w:r>
                </w:p>
              </w:tc>
              <w:tc>
                <w:tcPr/>
                <w:p>
                  <w:pPr>
                    <w:pStyle w:val="Compact"/>
                    <w:jc w:val="left"/>
                    <w:jc w:val="center"/>
                  </w:pPr>
                  <w:r>
                    <w:t xml:space="preserve">147.3863</w:t>
                  </w:r>
                </w:p>
              </w:tc>
              <w:tc>
                <w:tcPr/>
                <w:p>
                  <w:pPr>
                    <w:pStyle w:val="Compact"/>
                    <w:jc w:val="left"/>
                    <w:jc w:val="center"/>
                  </w:pPr>
                  <w:r>
                    <w:t xml:space="preserve">-18.25444</w:t>
                  </w:r>
                </w:p>
              </w:tc>
              <w:tc>
                <w:tcPr/>
                <w:p>
                  <w:pPr>
                    <w:pStyle w:val="Compact"/>
                    <w:jc w:val="left"/>
                    <w:jc w:val="center"/>
                  </w:pPr>
                  <w:r>
                    <w:t xml:space="preserve">1390</w:t>
                  </w:r>
                </w:p>
              </w:tc>
            </w:tr>
            <w:tr>
              <w:tc>
                <w:tcPr/>
                <w:p>
                  <w:pPr>
                    <w:pStyle w:val="Compact"/>
                    <w:jc w:val="left"/>
                    <w:jc w:val="center"/>
                  </w:pPr>
                  <w:r>
                    <w:t xml:space="preserve">10023</w:t>
                  </w:r>
                </w:p>
              </w:tc>
              <w:tc>
                <w:tcPr/>
                <w:p>
                  <w:pPr>
                    <w:pStyle w:val="Compact"/>
                    <w:jc w:val="left"/>
                    <w:jc w:val="center"/>
                  </w:pPr>
                  <w:r>
                    <w:t xml:space="preserve">147.3854</w:t>
                  </w:r>
                </w:p>
              </w:tc>
              <w:tc>
                <w:tcPr/>
                <w:p>
                  <w:pPr>
                    <w:pStyle w:val="Compact"/>
                    <w:jc w:val="left"/>
                    <w:jc w:val="center"/>
                  </w:pPr>
                  <w:r>
                    <w:t xml:space="preserve">-18.27809</w:t>
                  </w:r>
                </w:p>
              </w:tc>
              <w:tc>
                <w:tcPr/>
                <w:p>
                  <w:pPr>
                    <w:pStyle w:val="Compact"/>
                    <w:jc w:val="left"/>
                    <w:jc w:val="center"/>
                  </w:pPr>
                  <w:r>
                    <w:t xml:space="preserve">1883</w:t>
                  </w:r>
                </w:p>
              </w:tc>
            </w:tr>
            <w:tr>
              <w:tc>
                <w:tcPr/>
                <w:p>
                  <w:pPr>
                    <w:pStyle w:val="Compact"/>
                    <w:jc w:val="left"/>
                    <w:jc w:val="center"/>
                  </w:pPr>
                  <w:r>
                    <w:t xml:space="preserve">10022</w:t>
                  </w:r>
                </w:p>
              </w:tc>
              <w:tc>
                <w:tcPr/>
                <w:p>
                  <w:pPr>
                    <w:pStyle w:val="Compact"/>
                    <w:jc w:val="left"/>
                    <w:jc w:val="center"/>
                  </w:pPr>
                  <w:r>
                    <w:t xml:space="preserve">147.3977</w:t>
                  </w:r>
                </w:p>
              </w:tc>
              <w:tc>
                <w:tcPr/>
                <w:p>
                  <w:pPr>
                    <w:pStyle w:val="Compact"/>
                    <w:jc w:val="left"/>
                    <w:jc w:val="center"/>
                  </w:pPr>
                  <w:r>
                    <w:t xml:space="preserve">-18.26520</w:t>
                  </w:r>
                </w:p>
              </w:tc>
              <w:tc>
                <w:tcPr/>
                <w:p>
                  <w:pPr>
                    <w:pStyle w:val="Compact"/>
                    <w:jc w:val="left"/>
                    <w:jc w:val="center"/>
                  </w:pPr>
                  <w:r>
                    <w:t xml:space="preserve">2172</w:t>
                  </w:r>
                </w:p>
              </w:tc>
            </w:tr>
            <w:tr>
              <w:tc>
                <w:tcPr/>
                <w:p>
                  <w:pPr>
                    <w:pStyle w:val="Compact"/>
                    <w:jc w:val="left"/>
                    <w:jc w:val="center"/>
                  </w:pPr>
                  <w:r>
                    <w:t xml:space="preserve">Pandora S1 D5 IN</w:t>
                  </w:r>
                </w:p>
              </w:tc>
              <w:tc>
                <w:tcPr/>
                <w:p>
                  <w:pPr>
                    <w:pStyle w:val="Compact"/>
                    <w:jc w:val="left"/>
                    <w:jc w:val="center"/>
                  </w:pPr>
                  <w:r>
                    <w:t xml:space="preserve">146.4363</w:t>
                  </w:r>
                </w:p>
              </w:tc>
              <w:tc>
                <w:tcPr/>
                <w:p>
                  <w:pPr>
                    <w:pStyle w:val="Compact"/>
                    <w:jc w:val="left"/>
                    <w:jc w:val="center"/>
                  </w:pPr>
                  <w:r>
                    <w:t xml:space="preserve">-18.81405</w:t>
                  </w:r>
                </w:p>
              </w:tc>
              <w:tc>
                <w:tcPr/>
                <w:p>
                  <w:pPr>
                    <w:pStyle w:val="Compact"/>
                    <w:jc w:val="left"/>
                    <w:jc w:val="center"/>
                  </w:pPr>
                  <w:r>
                    <w:t xml:space="preserve">3083</w:t>
                  </w:r>
                </w:p>
              </w:tc>
            </w:tr>
            <w:tr>
              <w:tc>
                <w:tcPr/>
                <w:p>
                  <w:pPr>
                    <w:pStyle w:val="Compact"/>
                    <w:jc w:val="left"/>
                    <w:jc w:val="center"/>
                  </w:pPr>
                  <w:r>
                    <w:t xml:space="preserve">Middle Reef S1 D2 IN</w:t>
                  </w:r>
                </w:p>
              </w:tc>
              <w:tc>
                <w:tcPr/>
                <w:p>
                  <w:pPr>
                    <w:pStyle w:val="Compact"/>
                    <w:jc w:val="left"/>
                    <w:jc w:val="center"/>
                  </w:pPr>
                  <w:r>
                    <w:t xml:space="preserve">146.8102</w:t>
                  </w:r>
                </w:p>
              </w:tc>
              <w:tc>
                <w:tcPr/>
                <w:p>
                  <w:pPr>
                    <w:pStyle w:val="Compact"/>
                    <w:jc w:val="left"/>
                    <w:jc w:val="center"/>
                  </w:pPr>
                  <w:r>
                    <w:t xml:space="preserve">-19.19445</w:t>
                  </w:r>
                </w:p>
              </w:tc>
              <w:tc>
                <w:tcPr/>
                <w:p>
                  <w:pPr>
                    <w:pStyle w:val="Compact"/>
                    <w:jc w:val="left"/>
                    <w:jc w:val="center"/>
                  </w:pPr>
                  <w:r>
                    <w:t xml:space="preserve">819</w:t>
                  </w:r>
                </w:p>
              </w:tc>
            </w:tr>
            <w:tr>
              <w:tc>
                <w:tcPr/>
                <w:p>
                  <w:pPr>
                    <w:pStyle w:val="Compact"/>
                    <w:jc w:val="left"/>
                    <w:jc w:val="center"/>
                  </w:pPr>
                  <w:r>
                    <w:t xml:space="preserve">Orpheus Island East S2 D5 IN</w:t>
                  </w:r>
                </w:p>
              </w:tc>
              <w:tc>
                <w:tcPr/>
                <w:p>
                  <w:pPr>
                    <w:pStyle w:val="Compact"/>
                    <w:jc w:val="left"/>
                    <w:jc w:val="center"/>
                  </w:pPr>
                  <w:r>
                    <w:t xml:space="preserve">146.4972</w:t>
                  </w:r>
                </w:p>
              </w:tc>
              <w:tc>
                <w:tcPr/>
                <w:p>
                  <w:pPr>
                    <w:pStyle w:val="Compact"/>
                    <w:jc w:val="left"/>
                    <w:jc w:val="center"/>
                  </w:pPr>
                  <w:r>
                    <w:t xml:space="preserve">-18.57445</w:t>
                  </w:r>
                </w:p>
              </w:tc>
              <w:tc>
                <w:tcPr/>
                <w:p>
                  <w:pPr>
                    <w:pStyle w:val="Compact"/>
                    <w:jc w:val="left"/>
                    <w:jc w:val="center"/>
                  </w:pPr>
                  <w:r>
                    <w:t xml:space="preserve">2268</w:t>
                  </w:r>
                </w:p>
              </w:tc>
            </w:tr>
            <w:tr>
              <w:tc>
                <w:tcPr/>
                <w:p>
                  <w:pPr>
                    <w:pStyle w:val="Compact"/>
                    <w:jc w:val="left"/>
                    <w:jc w:val="center"/>
                  </w:pPr>
                  <w:r>
                    <w:t xml:space="preserve">Geoffrey Bay S1 D2 IN</w:t>
                  </w:r>
                </w:p>
              </w:tc>
              <w:tc>
                <w:tcPr/>
                <w:p>
                  <w:pPr>
                    <w:pStyle w:val="Compact"/>
                    <w:jc w:val="left"/>
                    <w:jc w:val="center"/>
                  </w:pPr>
                  <w:r>
                    <w:t xml:space="preserve">146.8685</w:t>
                  </w:r>
                </w:p>
              </w:tc>
              <w:tc>
                <w:tcPr/>
                <w:p>
                  <w:pPr>
                    <w:pStyle w:val="Compact"/>
                    <w:jc w:val="left"/>
                    <w:jc w:val="center"/>
                  </w:pPr>
                  <w:r>
                    <w:t xml:space="preserve">-19.15483</w:t>
                  </w:r>
                </w:p>
              </w:tc>
              <w:tc>
                <w:tcPr/>
                <w:p>
                  <w:pPr>
                    <w:pStyle w:val="Compact"/>
                    <w:jc w:val="left"/>
                    <w:jc w:val="center"/>
                  </w:pPr>
                  <w:r>
                    <w:t xml:space="preserve">3112</w:t>
                  </w:r>
                </w:p>
              </w:tc>
            </w:tr>
            <w:tr>
              <w:tc>
                <w:tcPr/>
                <w:p>
                  <w:pPr>
                    <w:pStyle w:val="Compact"/>
                    <w:jc w:val="left"/>
                    <w:jc w:val="center"/>
                  </w:pPr>
                  <w:r>
                    <w:t xml:space="preserve">Middle Reef S2 D2 IN</w:t>
                  </w:r>
                </w:p>
              </w:tc>
              <w:tc>
                <w:tcPr/>
                <w:p>
                  <w:pPr>
                    <w:pStyle w:val="Compact"/>
                    <w:jc w:val="left"/>
                    <w:jc w:val="center"/>
                  </w:pPr>
                  <w:r>
                    <w:t xml:space="preserve">146.8133</w:t>
                  </w:r>
                </w:p>
              </w:tc>
              <w:tc>
                <w:tcPr/>
                <w:p>
                  <w:pPr>
                    <w:pStyle w:val="Compact"/>
                    <w:jc w:val="left"/>
                    <w:jc w:val="center"/>
                  </w:pPr>
                  <w:r>
                    <w:t xml:space="preserve">-19.19597</w:t>
                  </w:r>
                </w:p>
              </w:tc>
              <w:tc>
                <w:tcPr/>
                <w:p>
                  <w:pPr>
                    <w:pStyle w:val="Compact"/>
                    <w:jc w:val="left"/>
                    <w:jc w:val="center"/>
                  </w:pPr>
                  <w:r>
                    <w:t xml:space="preserve">828</w:t>
                  </w:r>
                </w:p>
              </w:tc>
            </w:tr>
            <w:tr>
              <w:tc>
                <w:tcPr/>
                <w:p>
                  <w:pPr>
                    <w:pStyle w:val="Compact"/>
                    <w:jc w:val="left"/>
                    <w:jc w:val="center"/>
                  </w:pPr>
                  <w:r>
                    <w:t xml:space="preserve">Orpheus Island East S1 D5 IN</w:t>
                  </w:r>
                </w:p>
              </w:tc>
              <w:tc>
                <w:tcPr/>
                <w:p>
                  <w:pPr>
                    <w:pStyle w:val="Compact"/>
                    <w:jc w:val="left"/>
                    <w:jc w:val="center"/>
                  </w:pPr>
                  <w:r>
                    <w:t xml:space="preserve">146.4951</w:t>
                  </w:r>
                </w:p>
              </w:tc>
              <w:tc>
                <w:tcPr/>
                <w:p>
                  <w:pPr>
                    <w:pStyle w:val="Compact"/>
                    <w:jc w:val="left"/>
                    <w:jc w:val="center"/>
                  </w:pPr>
                  <w:r>
                    <w:t xml:space="preserve">-18.57173</w:t>
                  </w:r>
                </w:p>
              </w:tc>
              <w:tc>
                <w:tcPr/>
                <w:p>
                  <w:pPr>
                    <w:pStyle w:val="Compact"/>
                    <w:jc w:val="left"/>
                    <w:jc w:val="center"/>
                  </w:pPr>
                  <w:r>
                    <w:t xml:space="preserve">2246</w:t>
                  </w:r>
                </w:p>
              </w:tc>
            </w:tr>
            <w:tr>
              <w:tc>
                <w:tcPr/>
                <w:p>
                  <w:pPr>
                    <w:pStyle w:val="Compact"/>
                    <w:jc w:val="left"/>
                    <w:jc w:val="center"/>
                  </w:pPr>
                  <w:r>
                    <w:t xml:space="preserve">Havannah Island S2 D2 IN</w:t>
                  </w:r>
                </w:p>
              </w:tc>
              <w:tc>
                <w:tcPr/>
                <w:p>
                  <w:pPr>
                    <w:pStyle w:val="Compact"/>
                    <w:jc w:val="left"/>
                    <w:jc w:val="center"/>
                  </w:pPr>
                  <w:r>
                    <w:t xml:space="preserve">146.5407</w:t>
                  </w:r>
                </w:p>
              </w:tc>
              <w:tc>
                <w:tcPr/>
                <w:p>
                  <w:pPr>
                    <w:pStyle w:val="Compact"/>
                    <w:jc w:val="left"/>
                    <w:jc w:val="center"/>
                  </w:pPr>
                  <w:r>
                    <w:t xml:space="preserve">-18.84637</w:t>
                  </w:r>
                </w:p>
              </w:tc>
              <w:tc>
                <w:tcPr/>
                <w:p>
                  <w:pPr>
                    <w:pStyle w:val="Compact"/>
                    <w:jc w:val="left"/>
                    <w:jc w:val="center"/>
                  </w:pPr>
                  <w:r>
                    <w:t xml:space="preserve">2469</w:t>
                  </w:r>
                </w:p>
              </w:tc>
            </w:tr>
            <w:tr>
              <w:tc>
                <w:tcPr/>
                <w:p>
                  <w:pPr>
                    <w:pStyle w:val="Compact"/>
                    <w:jc w:val="left"/>
                    <w:jc w:val="center"/>
                  </w:pPr>
                  <w:r>
                    <w:t xml:space="preserve">Havannah Island S1 D5 IN</w:t>
                  </w:r>
                </w:p>
              </w:tc>
              <w:tc>
                <w:tcPr/>
                <w:p>
                  <w:pPr>
                    <w:pStyle w:val="Compact"/>
                    <w:jc w:val="left"/>
                    <w:jc w:val="center"/>
                  </w:pPr>
                  <w:r>
                    <w:t xml:space="preserve">146.5427</w:t>
                  </w:r>
                </w:p>
              </w:tc>
              <w:tc>
                <w:tcPr/>
                <w:p>
                  <w:pPr>
                    <w:pStyle w:val="Compact"/>
                    <w:jc w:val="left"/>
                    <w:jc w:val="center"/>
                  </w:pPr>
                  <w:r>
                    <w:t xml:space="preserve">-18.84755</w:t>
                  </w:r>
                </w:p>
              </w:tc>
              <w:tc>
                <w:tcPr/>
                <w:p>
                  <w:pPr>
                    <w:pStyle w:val="Compact"/>
                    <w:jc w:val="left"/>
                    <w:jc w:val="center"/>
                  </w:pPr>
                  <w:r>
                    <w:t xml:space="preserve">2471</w:t>
                  </w:r>
                </w:p>
              </w:tc>
            </w:tr>
            <w:tr>
              <w:tc>
                <w:tcPr/>
                <w:p>
                  <w:pPr>
                    <w:pStyle w:val="Compact"/>
                    <w:jc w:val="left"/>
                    <w:jc w:val="center"/>
                  </w:pPr>
                  <w:r>
                    <w:t xml:space="preserve">Geoffrey Bay S1 D5 IN</w:t>
                  </w:r>
                </w:p>
              </w:tc>
              <w:tc>
                <w:tcPr/>
                <w:p>
                  <w:pPr>
                    <w:pStyle w:val="Compact"/>
                    <w:jc w:val="left"/>
                    <w:jc w:val="center"/>
                  </w:pPr>
                  <w:r>
                    <w:t xml:space="preserve">146.8685</w:t>
                  </w:r>
                </w:p>
              </w:tc>
              <w:tc>
                <w:tcPr/>
                <w:p>
                  <w:pPr>
                    <w:pStyle w:val="Compact"/>
                    <w:jc w:val="left"/>
                    <w:jc w:val="center"/>
                  </w:pPr>
                  <w:r>
                    <w:t xml:space="preserve">-19.15495</w:t>
                  </w:r>
                </w:p>
              </w:tc>
              <w:tc>
                <w:tcPr/>
                <w:p>
                  <w:pPr>
                    <w:pStyle w:val="Compact"/>
                    <w:jc w:val="left"/>
                    <w:jc w:val="center"/>
                  </w:pPr>
                  <w:r>
                    <w:t xml:space="preserve">3307</w:t>
                  </w:r>
                </w:p>
              </w:tc>
            </w:tr>
            <w:tr>
              <w:tc>
                <w:tcPr/>
                <w:p>
                  <w:pPr>
                    <w:pStyle w:val="Compact"/>
                    <w:jc w:val="left"/>
                    <w:jc w:val="center"/>
                  </w:pPr>
                  <w:r>
                    <w:t xml:space="preserve">Havannah Island S2 D5 IN</w:t>
                  </w:r>
                </w:p>
              </w:tc>
              <w:tc>
                <w:tcPr/>
                <w:p>
                  <w:pPr>
                    <w:pStyle w:val="Compact"/>
                    <w:jc w:val="left"/>
                    <w:jc w:val="center"/>
                  </w:pPr>
                  <w:r>
                    <w:t xml:space="preserve">146.5406</w:t>
                  </w:r>
                </w:p>
              </w:tc>
              <w:tc>
                <w:tcPr/>
                <w:p>
                  <w:pPr>
                    <w:pStyle w:val="Compact"/>
                    <w:jc w:val="left"/>
                    <w:jc w:val="center"/>
                  </w:pPr>
                  <w:r>
                    <w:t xml:space="preserve">-18.84668</w:t>
                  </w:r>
                </w:p>
              </w:tc>
              <w:tc>
                <w:tcPr/>
                <w:p>
                  <w:pPr>
                    <w:pStyle w:val="Compact"/>
                    <w:jc w:val="left"/>
                    <w:jc w:val="center"/>
                  </w:pPr>
                  <w:r>
                    <w:t xml:space="preserve">2469</w:t>
                  </w:r>
                </w:p>
              </w:tc>
            </w:tr>
            <w:tr>
              <w:tc>
                <w:tcPr/>
                <w:p>
                  <w:pPr>
                    <w:pStyle w:val="Compact"/>
                    <w:jc w:val="left"/>
                    <w:jc w:val="center"/>
                  </w:pPr>
                  <w:r>
                    <w:t xml:space="preserve">Pelorus and Orpheus Islands West S1 D2 IN</w:t>
                  </w:r>
                </w:p>
              </w:tc>
              <w:tc>
                <w:tcPr/>
                <w:p>
                  <w:pPr>
                    <w:pStyle w:val="Compact"/>
                    <w:jc w:val="left"/>
                    <w:jc w:val="center"/>
                  </w:pPr>
                  <w:r>
                    <w:t xml:space="preserve">146.4823</w:t>
                  </w:r>
                </w:p>
              </w:tc>
              <w:tc>
                <w:tcPr/>
                <w:p>
                  <w:pPr>
                    <w:pStyle w:val="Compact"/>
                    <w:jc w:val="left"/>
                    <w:jc w:val="center"/>
                  </w:pPr>
                  <w:r>
                    <w:t xml:space="preserve">-18.56912</w:t>
                  </w:r>
                </w:p>
              </w:tc>
              <w:tc>
                <w:tcPr/>
                <w:p>
                  <w:pPr>
                    <w:pStyle w:val="Compact"/>
                    <w:jc w:val="left"/>
                    <w:jc w:val="center"/>
                  </w:pPr>
                  <w:r>
                    <w:t xml:space="preserve">3293</w:t>
                  </w:r>
                </w:p>
              </w:tc>
            </w:tr>
            <w:tr>
              <w:tc>
                <w:tcPr/>
                <w:p>
                  <w:pPr>
                    <w:pStyle w:val="Compact"/>
                    <w:jc w:val="left"/>
                    <w:jc w:val="center"/>
                  </w:pPr>
                  <w:r>
                    <w:t xml:space="preserve">Pelorus and Orpheus Islands West S2 D5 IN</w:t>
                  </w:r>
                </w:p>
              </w:tc>
              <w:tc>
                <w:tcPr/>
                <w:p>
                  <w:pPr>
                    <w:pStyle w:val="Compact"/>
                    <w:jc w:val="left"/>
                    <w:jc w:val="center"/>
                  </w:pPr>
                  <w:r>
                    <w:t xml:space="preserve">146.4886</w:t>
                  </w:r>
                </w:p>
              </w:tc>
              <w:tc>
                <w:tcPr/>
                <w:p>
                  <w:pPr>
                    <w:pStyle w:val="Compact"/>
                    <w:jc w:val="left"/>
                    <w:jc w:val="center"/>
                  </w:pPr>
                  <w:r>
                    <w:t xml:space="preserve">-18.54058</w:t>
                  </w:r>
                </w:p>
              </w:tc>
              <w:tc>
                <w:tcPr/>
                <w:p>
                  <w:pPr>
                    <w:pStyle w:val="Compact"/>
                    <w:jc w:val="left"/>
                    <w:jc w:val="center"/>
                  </w:pPr>
                  <w:r>
                    <w:t xml:space="preserve">3289</w:t>
                  </w:r>
                </w:p>
              </w:tc>
            </w:tr>
            <w:tr>
              <w:tc>
                <w:tcPr/>
                <w:p>
                  <w:pPr>
                    <w:pStyle w:val="Compact"/>
                    <w:jc w:val="left"/>
                    <w:jc w:val="center"/>
                  </w:pPr>
                  <w:r>
                    <w:t xml:space="preserve">Pelorus and Orpheus Islands West S1 D5 IN</w:t>
                  </w:r>
                </w:p>
              </w:tc>
              <w:tc>
                <w:tcPr/>
                <w:p>
                  <w:pPr>
                    <w:pStyle w:val="Compact"/>
                    <w:jc w:val="left"/>
                    <w:jc w:val="center"/>
                  </w:pPr>
                  <w:r>
                    <w:t xml:space="preserve">146.4820</w:t>
                  </w:r>
                </w:p>
              </w:tc>
              <w:tc>
                <w:tcPr/>
                <w:p>
                  <w:pPr>
                    <w:pStyle w:val="Compact"/>
                    <w:jc w:val="left"/>
                    <w:jc w:val="center"/>
                  </w:pPr>
                  <w:r>
                    <w:t xml:space="preserve">-18.56907</w:t>
                  </w:r>
                </w:p>
              </w:tc>
              <w:tc>
                <w:tcPr/>
                <w:p>
                  <w:pPr>
                    <w:pStyle w:val="Compact"/>
                    <w:jc w:val="left"/>
                    <w:jc w:val="center"/>
                  </w:pPr>
                  <w:r>
                    <w:t xml:space="preserve">3298</w:t>
                  </w:r>
                </w:p>
              </w:tc>
            </w:tr>
            <w:tr>
              <w:tc>
                <w:tcPr/>
                <w:p>
                  <w:pPr>
                    <w:pStyle w:val="Compact"/>
                    <w:jc w:val="left"/>
                    <w:jc w:val="center"/>
                  </w:pPr>
                  <w:r>
                    <w:t xml:space="preserve">Pandora S2 D2 IN</w:t>
                  </w:r>
                </w:p>
              </w:tc>
              <w:tc>
                <w:tcPr/>
                <w:p>
                  <w:pPr>
                    <w:pStyle w:val="Compact"/>
                    <w:jc w:val="left"/>
                    <w:jc w:val="center"/>
                  </w:pPr>
                  <w:r>
                    <w:t xml:space="preserve">146.4341</w:t>
                  </w:r>
                </w:p>
              </w:tc>
              <w:tc>
                <w:tcPr/>
                <w:p>
                  <w:pPr>
                    <w:pStyle w:val="Compact"/>
                    <w:jc w:val="left"/>
                    <w:jc w:val="center"/>
                  </w:pPr>
                  <w:r>
                    <w:t xml:space="preserve">-18.81640</w:t>
                  </w:r>
                </w:p>
              </w:tc>
              <w:tc>
                <w:tcPr/>
                <w:p>
                  <w:pPr>
                    <w:pStyle w:val="Compact"/>
                    <w:jc w:val="left"/>
                    <w:jc w:val="center"/>
                  </w:pPr>
                  <w:r>
                    <w:t xml:space="preserve">2864</w:t>
                  </w:r>
                </w:p>
              </w:tc>
            </w:tr>
            <w:tr>
              <w:tc>
                <w:tcPr/>
                <w:p>
                  <w:pPr>
                    <w:pStyle w:val="Compact"/>
                    <w:jc w:val="left"/>
                    <w:jc w:val="center"/>
                  </w:pPr>
                  <w:r>
                    <w:t xml:space="preserve">Pelorus and Orpheus Islands West S2 D2 IN</w:t>
                  </w:r>
                </w:p>
              </w:tc>
              <w:tc>
                <w:tcPr/>
                <w:p>
                  <w:pPr>
                    <w:pStyle w:val="Compact"/>
                    <w:jc w:val="left"/>
                    <w:jc w:val="center"/>
                  </w:pPr>
                  <w:r>
                    <w:t xml:space="preserve">146.4888</w:t>
                  </w:r>
                </w:p>
              </w:tc>
              <w:tc>
                <w:tcPr/>
                <w:p>
                  <w:pPr>
                    <w:pStyle w:val="Compact"/>
                    <w:jc w:val="left"/>
                    <w:jc w:val="center"/>
                  </w:pPr>
                  <w:r>
                    <w:t xml:space="preserve">-18.54058</w:t>
                  </w:r>
                </w:p>
              </w:tc>
              <w:tc>
                <w:tcPr/>
                <w:p>
                  <w:pPr>
                    <w:pStyle w:val="Compact"/>
                    <w:jc w:val="left"/>
                    <w:jc w:val="center"/>
                  </w:pPr>
                  <w:r>
                    <w:t xml:space="preserve">3291</w:t>
                  </w:r>
                </w:p>
              </w:tc>
            </w:tr>
            <w:tr>
              <w:tc>
                <w:tcPr/>
                <w:p>
                  <w:pPr>
                    <w:pStyle w:val="Compact"/>
                    <w:jc w:val="left"/>
                    <w:jc w:val="center"/>
                  </w:pPr>
                  <w:r>
                    <w:t xml:space="preserve">Havannah Island S1 D2 IN</w:t>
                  </w:r>
                </w:p>
              </w:tc>
              <w:tc>
                <w:tcPr/>
                <w:p>
                  <w:pPr>
                    <w:pStyle w:val="Compact"/>
                    <w:jc w:val="left"/>
                    <w:jc w:val="center"/>
                  </w:pPr>
                  <w:r>
                    <w:t xml:space="preserve">146.5428</w:t>
                  </w:r>
                </w:p>
              </w:tc>
              <w:tc>
                <w:tcPr/>
                <w:p>
                  <w:pPr>
                    <w:pStyle w:val="Compact"/>
                    <w:jc w:val="left"/>
                    <w:jc w:val="center"/>
                  </w:pPr>
                  <w:r>
                    <w:t xml:space="preserve">-18.84722</w:t>
                  </w:r>
                </w:p>
              </w:tc>
              <w:tc>
                <w:tcPr/>
                <w:p>
                  <w:pPr>
                    <w:pStyle w:val="Compact"/>
                    <w:jc w:val="left"/>
                    <w:jc w:val="center"/>
                  </w:pPr>
                  <w:r>
                    <w:t xml:space="preserve">2464</w:t>
                  </w:r>
                </w:p>
              </w:tc>
            </w:tr>
            <w:tr>
              <w:tc>
                <w:tcPr/>
                <w:p>
                  <w:pPr>
                    <w:pStyle w:val="Compact"/>
                    <w:jc w:val="left"/>
                    <w:jc w:val="center"/>
                  </w:pPr>
                  <w:r>
                    <w:t xml:space="preserve">Orpheus Island East S2 D2 IN</w:t>
                  </w:r>
                </w:p>
              </w:tc>
              <w:tc>
                <w:tcPr/>
                <w:p>
                  <w:pPr>
                    <w:pStyle w:val="Compact"/>
                    <w:jc w:val="left"/>
                    <w:jc w:val="center"/>
                  </w:pPr>
                  <w:r>
                    <w:t xml:space="preserve">146.4963</w:t>
                  </w:r>
                </w:p>
              </w:tc>
              <w:tc>
                <w:tcPr/>
                <w:p>
                  <w:pPr>
                    <w:pStyle w:val="Compact"/>
                    <w:jc w:val="left"/>
                    <w:jc w:val="center"/>
                  </w:pPr>
                  <w:r>
                    <w:t xml:space="preserve">-18.57433</w:t>
                  </w:r>
                </w:p>
              </w:tc>
              <w:tc>
                <w:tcPr/>
                <w:p>
                  <w:pPr>
                    <w:pStyle w:val="Compact"/>
                    <w:jc w:val="left"/>
                    <w:jc w:val="center"/>
                  </w:pPr>
                  <w:r>
                    <w:t xml:space="preserve">2248</w:t>
                  </w:r>
                </w:p>
              </w:tc>
            </w:tr>
            <w:tr>
              <w:tc>
                <w:tcPr/>
                <w:p>
                  <w:pPr>
                    <w:pStyle w:val="Compact"/>
                    <w:jc w:val="left"/>
                    <w:jc w:val="center"/>
                  </w:pPr>
                  <w:r>
                    <w:t xml:space="preserve">Pandora S1 D2 IN</w:t>
                  </w:r>
                </w:p>
              </w:tc>
              <w:tc>
                <w:tcPr/>
                <w:p>
                  <w:pPr>
                    <w:pStyle w:val="Compact"/>
                    <w:jc w:val="left"/>
                    <w:jc w:val="center"/>
                  </w:pPr>
                  <w:r>
                    <w:t xml:space="preserve">146.4360</w:t>
                  </w:r>
                </w:p>
              </w:tc>
              <w:tc>
                <w:tcPr/>
                <w:p>
                  <w:pPr>
                    <w:pStyle w:val="Compact"/>
                    <w:jc w:val="left"/>
                    <w:jc w:val="center"/>
                  </w:pPr>
                  <w:r>
                    <w:t xml:space="preserve">-18.81403</w:t>
                  </w:r>
                </w:p>
              </w:tc>
              <w:tc>
                <w:tcPr/>
                <w:p>
                  <w:pPr>
                    <w:pStyle w:val="Compact"/>
                    <w:jc w:val="left"/>
                    <w:jc w:val="center"/>
                  </w:pPr>
                  <w:r>
                    <w:t xml:space="preserve">2880</w:t>
                  </w:r>
                </w:p>
              </w:tc>
            </w:tr>
            <w:tr>
              <w:tc>
                <w:tcPr/>
                <w:p>
                  <w:pPr>
                    <w:pStyle w:val="Compact"/>
                    <w:jc w:val="left"/>
                    <w:jc w:val="center"/>
                  </w:pPr>
                  <w:r>
                    <w:t xml:space="preserve">Geoffrey Bay S2 D5 IN</w:t>
                  </w:r>
                </w:p>
              </w:tc>
              <w:tc>
                <w:tcPr/>
                <w:p>
                  <w:pPr>
                    <w:pStyle w:val="Compact"/>
                    <w:jc w:val="left"/>
                    <w:jc w:val="center"/>
                  </w:pPr>
                  <w:r>
                    <w:t xml:space="preserve">146.8622</w:t>
                  </w:r>
                </w:p>
              </w:tc>
              <w:tc>
                <w:tcPr/>
                <w:p>
                  <w:pPr>
                    <w:pStyle w:val="Compact"/>
                    <w:jc w:val="left"/>
                    <w:jc w:val="center"/>
                  </w:pPr>
                  <w:r>
                    <w:t xml:space="preserve">-19.15678</w:t>
                  </w:r>
                </w:p>
              </w:tc>
              <w:tc>
                <w:tcPr/>
                <w:p>
                  <w:pPr>
                    <w:pStyle w:val="Compact"/>
                    <w:jc w:val="left"/>
                    <w:jc w:val="center"/>
                  </w:pPr>
                  <w:r>
                    <w:t xml:space="preserve">2900</w:t>
                  </w:r>
                </w:p>
              </w:tc>
            </w:tr>
            <w:tr>
              <w:tc>
                <w:tcPr/>
                <w:p>
                  <w:pPr>
                    <w:pStyle w:val="Compact"/>
                    <w:jc w:val="left"/>
                    <w:jc w:val="center"/>
                  </w:pPr>
                  <w:r>
                    <w:t xml:space="preserve">Pandora S2 D5 IN</w:t>
                  </w:r>
                </w:p>
              </w:tc>
              <w:tc>
                <w:tcPr/>
                <w:p>
                  <w:pPr>
                    <w:pStyle w:val="Compact"/>
                    <w:jc w:val="left"/>
                    <w:jc w:val="center"/>
                  </w:pPr>
                  <w:r>
                    <w:t xml:space="preserve">146.4346</w:t>
                  </w:r>
                </w:p>
              </w:tc>
              <w:tc>
                <w:tcPr/>
                <w:p>
                  <w:pPr>
                    <w:pStyle w:val="Compact"/>
                    <w:jc w:val="left"/>
                    <w:jc w:val="center"/>
                  </w:pPr>
                  <w:r>
                    <w:t xml:space="preserve">-18.81680</w:t>
                  </w:r>
                </w:p>
              </w:tc>
              <w:tc>
                <w:tcPr/>
                <w:p>
                  <w:pPr>
                    <w:pStyle w:val="Compact"/>
                    <w:jc w:val="left"/>
                    <w:jc w:val="center"/>
                  </w:pPr>
                  <w:r>
                    <w:t xml:space="preserve">2705</w:t>
                  </w:r>
                </w:p>
              </w:tc>
            </w:tr>
            <w:tr>
              <w:tc>
                <w:tcPr/>
                <w:p>
                  <w:pPr>
                    <w:pStyle w:val="Compact"/>
                    <w:jc w:val="left"/>
                    <w:jc w:val="center"/>
                  </w:pPr>
                  <w:r>
                    <w:t xml:space="preserve">Geoffrey Bay S2 D2 IN</w:t>
                  </w:r>
                </w:p>
              </w:tc>
              <w:tc>
                <w:tcPr/>
                <w:p>
                  <w:pPr>
                    <w:pStyle w:val="Compact"/>
                    <w:jc w:val="left"/>
                    <w:jc w:val="center"/>
                  </w:pPr>
                  <w:r>
                    <w:t xml:space="preserve">146.8622</w:t>
                  </w:r>
                </w:p>
              </w:tc>
              <w:tc>
                <w:tcPr/>
                <w:p>
                  <w:pPr>
                    <w:pStyle w:val="Compact"/>
                    <w:jc w:val="left"/>
                    <w:jc w:val="center"/>
                  </w:pPr>
                  <w:r>
                    <w:t xml:space="preserve">-19.15622</w:t>
                  </w:r>
                </w:p>
              </w:tc>
              <w:tc>
                <w:tcPr/>
                <w:p>
                  <w:pPr>
                    <w:pStyle w:val="Compact"/>
                    <w:jc w:val="left"/>
                    <w:jc w:val="center"/>
                  </w:pPr>
                  <w:r>
                    <w:t xml:space="preserve">3112</w:t>
                  </w:r>
                </w:p>
              </w:tc>
            </w:tr>
            <w:tr>
              <w:tc>
                <w:tcPr/>
                <w:p>
                  <w:pPr>
                    <w:pStyle w:val="Compact"/>
                    <w:jc w:val="left"/>
                    <w:jc w:val="center"/>
                  </w:pPr>
                  <w:r>
                    <w:t xml:space="preserve">Orpheus Island East S1 D2 IN</w:t>
                  </w:r>
                </w:p>
              </w:tc>
              <w:tc>
                <w:tcPr/>
                <w:p>
                  <w:pPr>
                    <w:pStyle w:val="Compact"/>
                    <w:jc w:val="left"/>
                    <w:jc w:val="center"/>
                  </w:pPr>
                  <w:r>
                    <w:t xml:space="preserve">146.4947</w:t>
                  </w:r>
                </w:p>
              </w:tc>
              <w:tc>
                <w:tcPr/>
                <w:p>
                  <w:pPr>
                    <w:pStyle w:val="Compact"/>
                    <w:jc w:val="left"/>
                    <w:jc w:val="center"/>
                  </w:pPr>
                  <w:r>
                    <w:t xml:space="preserve">-18.57178</w:t>
                  </w:r>
                </w:p>
              </w:tc>
              <w:tc>
                <w:tcPr/>
                <w:p>
                  <w:pPr>
                    <w:pStyle w:val="Compact"/>
                    <w:jc w:val="left"/>
                    <w:jc w:val="center"/>
                  </w:pPr>
                  <w:r>
                    <w:t xml:space="preserve">2260</w:t>
                  </w:r>
                </w:p>
              </w:tc>
            </w:tr>
            <w:tr>
              <w:tc>
                <w:tcPr/>
                <w:p>
                  <w:pPr>
                    <w:pStyle w:val="Compact"/>
                    <w:jc w:val="left"/>
                    <w:jc w:val="center"/>
                  </w:pPr>
                  <w:r>
                    <w:t xml:space="preserve">MI_Geoffrey Bay</w:t>
                  </w:r>
                </w:p>
              </w:tc>
              <w:tc>
                <w:tcPr/>
                <w:p>
                  <w:pPr>
                    <w:pStyle w:val="Compact"/>
                    <w:jc w:val="left"/>
                    <w:jc w:val="center"/>
                  </w:pPr>
                  <w:r>
                    <w:t xml:space="preserve">146.8681</w:t>
                  </w:r>
                </w:p>
              </w:tc>
              <w:tc>
                <w:tcPr/>
                <w:p>
                  <w:pPr>
                    <w:pStyle w:val="Compact"/>
                    <w:jc w:val="left"/>
                    <w:jc w:val="center"/>
                  </w:pPr>
                  <w:r>
                    <w:t xml:space="preserve">-19.15427</w:t>
                  </w:r>
                </w:p>
              </w:tc>
              <w:tc>
                <w:tcPr/>
                <w:p>
                  <w:pPr>
                    <w:pStyle w:val="Compact"/>
                    <w:jc w:val="left"/>
                    <w:jc w:val="center"/>
                  </w:pPr>
                  <w:r>
                    <w:t xml:space="preserve">864</w:t>
                  </w:r>
                </w:p>
              </w:tc>
            </w:tr>
            <w:tr>
              <w:tc>
                <w:tcPr/>
                <w:p>
                  <w:pPr>
                    <w:pStyle w:val="Compact"/>
                    <w:jc w:val="left"/>
                    <w:jc w:val="center"/>
                  </w:pPr>
                  <w:r>
                    <w:t xml:space="preserve">MI_Middle Reef_2</w:t>
                  </w:r>
                </w:p>
              </w:tc>
              <w:tc>
                <w:tcPr/>
                <w:p>
                  <w:pPr>
                    <w:pStyle w:val="Compact"/>
                    <w:jc w:val="left"/>
                    <w:jc w:val="center"/>
                  </w:pPr>
                  <w:r>
                    <w:t xml:space="preserve">146.8144</w:t>
                  </w:r>
                </w:p>
              </w:tc>
              <w:tc>
                <w:tcPr/>
                <w:p>
                  <w:pPr>
                    <w:pStyle w:val="Compact"/>
                    <w:jc w:val="left"/>
                    <w:jc w:val="center"/>
                  </w:pPr>
                  <w:r>
                    <w:t xml:space="preserve">-19.19661</w:t>
                  </w:r>
                </w:p>
              </w:tc>
              <w:tc>
                <w:tcPr/>
                <w:p>
                  <w:pPr>
                    <w:pStyle w:val="Compact"/>
                    <w:jc w:val="left"/>
                    <w:jc w:val="center"/>
                  </w:pPr>
                  <w:r>
                    <w:t xml:space="preserve">107</w:t>
                  </w:r>
                </w:p>
              </w:tc>
            </w:tr>
            <w:tr>
              <w:tc>
                <w:tcPr/>
                <w:p>
                  <w:pPr>
                    <w:pStyle w:val="Compact"/>
                    <w:jc w:val="left"/>
                    <w:jc w:val="center"/>
                  </w:pPr>
                  <w:r>
                    <w:t xml:space="preserve">MI_Arthur_West</w:t>
                  </w:r>
                </w:p>
              </w:tc>
              <w:tc>
                <w:tcPr/>
                <w:p>
                  <w:pPr>
                    <w:pStyle w:val="Compact"/>
                    <w:jc w:val="left"/>
                    <w:jc w:val="center"/>
                  </w:pPr>
                  <w:r>
                    <w:t xml:space="preserve">146.8771</w:t>
                  </w:r>
                </w:p>
              </w:tc>
              <w:tc>
                <w:tcPr/>
                <w:p>
                  <w:pPr>
                    <w:pStyle w:val="Compact"/>
                    <w:jc w:val="left"/>
                    <w:jc w:val="center"/>
                  </w:pPr>
                  <w:r>
                    <w:t xml:space="preserve">-19.12886</w:t>
                  </w:r>
                </w:p>
              </w:tc>
              <w:tc>
                <w:tcPr/>
                <w:p>
                  <w:pPr>
                    <w:pStyle w:val="Compact"/>
                    <w:jc w:val="left"/>
                    <w:jc w:val="center"/>
                  </w:pPr>
                  <w:r>
                    <w:t xml:space="preserve">132</w:t>
                  </w:r>
                </w:p>
              </w:tc>
            </w:tr>
            <w:tr>
              <w:tc>
                <w:tcPr/>
                <w:p>
                  <w:pPr>
                    <w:pStyle w:val="Compact"/>
                    <w:jc w:val="left"/>
                    <w:jc w:val="center"/>
                  </w:pPr>
                  <w:r>
                    <w:t xml:space="preserve">MI_Whitfield Cove</w:t>
                  </w:r>
                </w:p>
              </w:tc>
              <w:tc>
                <w:tcPr/>
                <w:p>
                  <w:pPr>
                    <w:pStyle w:val="Compact"/>
                    <w:jc w:val="left"/>
                    <w:jc w:val="center"/>
                  </w:pPr>
                  <w:r>
                    <w:t xml:space="preserve">146.8723</w:t>
                  </w:r>
                </w:p>
              </w:tc>
              <w:tc>
                <w:tcPr/>
                <w:p>
                  <w:pPr>
                    <w:pStyle w:val="Compact"/>
                    <w:jc w:val="left"/>
                    <w:jc w:val="center"/>
                  </w:pPr>
                  <w:r>
                    <w:t xml:space="preserve">-19.14305</w:t>
                  </w:r>
                </w:p>
              </w:tc>
              <w:tc>
                <w:tcPr/>
                <w:p>
                  <w:pPr>
                    <w:pStyle w:val="Compact"/>
                    <w:jc w:val="left"/>
                    <w:jc w:val="center"/>
                  </w:pPr>
                  <w:r>
                    <w:t xml:space="preserve">387</w:t>
                  </w:r>
                </w:p>
              </w:tc>
            </w:tr>
            <w:tr>
              <w:tc>
                <w:tcPr/>
                <w:p>
                  <w:pPr>
                    <w:pStyle w:val="Compact"/>
                    <w:jc w:val="left"/>
                    <w:jc w:val="center"/>
                  </w:pPr>
                  <w:r>
                    <w:t xml:space="preserve">MI_Nelly Bay</w:t>
                  </w:r>
                </w:p>
              </w:tc>
              <w:tc>
                <w:tcPr/>
                <w:p>
                  <w:pPr>
                    <w:pStyle w:val="Compact"/>
                    <w:jc w:val="left"/>
                    <w:jc w:val="center"/>
                  </w:pPr>
                  <w:r>
                    <w:t xml:space="preserve">146.8487</w:t>
                  </w:r>
                </w:p>
              </w:tc>
              <w:tc>
                <w:tcPr/>
                <w:p>
                  <w:pPr>
                    <w:pStyle w:val="Compact"/>
                    <w:jc w:val="left"/>
                    <w:jc w:val="center"/>
                  </w:pPr>
                  <w:r>
                    <w:t xml:space="preserve">-19.17086</w:t>
                  </w:r>
                </w:p>
              </w:tc>
              <w:tc>
                <w:tcPr/>
                <w:p>
                  <w:pPr>
                    <w:pStyle w:val="Compact"/>
                    <w:jc w:val="left"/>
                    <w:jc w:val="center"/>
                  </w:pPr>
                  <w:r>
                    <w:t xml:space="preserve">832</w:t>
                  </w:r>
                </w:p>
              </w:tc>
            </w:tr>
            <w:tr>
              <w:tc>
                <w:tcPr/>
                <w:p>
                  <w:pPr>
                    <w:pStyle w:val="Compact"/>
                    <w:jc w:val="left"/>
                    <w:jc w:val="center"/>
                  </w:pPr>
                  <w:r>
                    <w:t xml:space="preserve">PI_Pelorus_SW</w:t>
                  </w:r>
                </w:p>
              </w:tc>
              <w:tc>
                <w:tcPr/>
                <w:p>
                  <w:pPr>
                    <w:pStyle w:val="Compact"/>
                    <w:jc w:val="left"/>
                    <w:jc w:val="center"/>
                  </w:pPr>
                  <w:r>
                    <w:t xml:space="preserve">146.4887</w:t>
                  </w:r>
                </w:p>
              </w:tc>
              <w:tc>
                <w:tcPr/>
                <w:p>
                  <w:pPr>
                    <w:pStyle w:val="Compact"/>
                    <w:jc w:val="left"/>
                    <w:jc w:val="center"/>
                  </w:pPr>
                  <w:r>
                    <w:t xml:space="preserve">-18.55196</w:t>
                  </w:r>
                </w:p>
              </w:tc>
              <w:tc>
                <w:tcPr/>
                <w:p>
                  <w:pPr>
                    <w:pStyle w:val="Compact"/>
                    <w:jc w:val="left"/>
                    <w:jc w:val="center"/>
                  </w:pPr>
                  <w:r>
                    <w:t xml:space="preserve">27</w:t>
                  </w:r>
                </w:p>
              </w:tc>
            </w:tr>
            <w:tr>
              <w:tc>
                <w:tcPr/>
                <w:p>
                  <w:pPr>
                    <w:pStyle w:val="Compact"/>
                    <w:jc w:val="left"/>
                    <w:jc w:val="center"/>
                  </w:pPr>
                  <w:r>
                    <w:t xml:space="preserve">PI_Pioneer_Nth</w:t>
                  </w:r>
                </w:p>
              </w:tc>
              <w:tc>
                <w:tcPr/>
                <w:p>
                  <w:pPr>
                    <w:pStyle w:val="Compact"/>
                    <w:jc w:val="left"/>
                    <w:jc w:val="center"/>
                  </w:pPr>
                  <w:r>
                    <w:t xml:space="preserve">146.4874</w:t>
                  </w:r>
                </w:p>
              </w:tc>
              <w:tc>
                <w:tcPr/>
                <w:p>
                  <w:pPr>
                    <w:pStyle w:val="Compact"/>
                    <w:jc w:val="left"/>
                    <w:jc w:val="center"/>
                  </w:pPr>
                  <w:r>
                    <w:t xml:space="preserve">-18.60945</w:t>
                  </w:r>
                </w:p>
              </w:tc>
              <w:tc>
                <w:tcPr/>
                <w:p>
                  <w:pPr>
                    <w:pStyle w:val="Compact"/>
                    <w:jc w:val="left"/>
                    <w:jc w:val="center"/>
                  </w:pPr>
                  <w:r>
                    <w:t xml:space="preserve">145</w:t>
                  </w:r>
                </w:p>
              </w:tc>
            </w:tr>
            <w:tr>
              <w:tc>
                <w:tcPr/>
                <w:p>
                  <w:pPr>
                    <w:pStyle w:val="Compact"/>
                    <w:jc w:val="left"/>
                    <w:jc w:val="center"/>
                  </w:pPr>
                  <w:r>
                    <w:t xml:space="preserve">PI_CattleBay_mid</w:t>
                  </w:r>
                </w:p>
              </w:tc>
              <w:tc>
                <w:tcPr/>
                <w:p>
                  <w:pPr>
                    <w:pStyle w:val="Compact"/>
                    <w:jc w:val="left"/>
                    <w:jc w:val="center"/>
                  </w:pPr>
                  <w:r>
                    <w:t xml:space="preserve">146.4841</w:t>
                  </w:r>
                </w:p>
              </w:tc>
              <w:tc>
                <w:tcPr/>
                <w:p>
                  <w:pPr>
                    <w:pStyle w:val="Compact"/>
                    <w:jc w:val="left"/>
                    <w:jc w:val="center"/>
                  </w:pPr>
                  <w:r>
                    <w:t xml:space="preserve">-18.57641</w:t>
                  </w:r>
                </w:p>
              </w:tc>
              <w:tc>
                <w:tcPr/>
                <w:p>
                  <w:pPr>
                    <w:pStyle w:val="Compact"/>
                    <w:jc w:val="left"/>
                    <w:jc w:val="center"/>
                  </w:pPr>
                  <w:r>
                    <w:t xml:space="preserve">48</w:t>
                  </w:r>
                </w:p>
              </w:tc>
            </w:tr>
            <w:tr>
              <w:tc>
                <w:tcPr/>
                <w:p>
                  <w:pPr>
                    <w:pStyle w:val="Compact"/>
                    <w:jc w:val="left"/>
                    <w:jc w:val="center"/>
                  </w:pPr>
                  <w:r>
                    <w:t xml:space="preserve">Walker_site3</w:t>
                  </w:r>
                </w:p>
              </w:tc>
              <w:tc>
                <w:tcPr/>
                <w:p>
                  <w:pPr>
                    <w:pStyle w:val="Compact"/>
                    <w:jc w:val="left"/>
                    <w:jc w:val="center"/>
                  </w:pPr>
                  <w:r>
                    <w:t xml:space="preserve">146.7424</w:t>
                  </w:r>
                </w:p>
              </w:tc>
              <w:tc>
                <w:tcPr/>
                <w:p>
                  <w:pPr>
                    <w:pStyle w:val="Compact"/>
                    <w:jc w:val="left"/>
                    <w:jc w:val="center"/>
                  </w:pPr>
                  <w:r>
                    <w:t xml:space="preserve">-18.31542</w:t>
                  </w:r>
                </w:p>
              </w:tc>
              <w:tc>
                <w:tcPr/>
                <w:p>
                  <w:pPr>
                    <w:pStyle w:val="Compact"/>
                    <w:jc w:val="left"/>
                    <w:jc w:val="center"/>
                  </w:pPr>
                  <w:r>
                    <w:t xml:space="preserve">41</w:t>
                  </w:r>
                </w:p>
              </w:tc>
            </w:tr>
            <w:tr>
              <w:tc>
                <w:tcPr/>
                <w:p>
                  <w:pPr>
                    <w:pStyle w:val="Compact"/>
                    <w:jc w:val="left"/>
                    <w:jc w:val="center"/>
                  </w:pPr>
                  <w:r>
                    <w:t xml:space="preserve">MI_Middle Reef_1</w:t>
                  </w:r>
                </w:p>
              </w:tc>
              <w:tc>
                <w:tcPr/>
                <w:p>
                  <w:pPr>
                    <w:pStyle w:val="Compact"/>
                    <w:jc w:val="left"/>
                    <w:jc w:val="center"/>
                  </w:pPr>
                  <w:r>
                    <w:t xml:space="preserve">146.8183</w:t>
                  </w:r>
                </w:p>
              </w:tc>
              <w:tc>
                <w:tcPr/>
                <w:p>
                  <w:pPr>
                    <w:pStyle w:val="Compact"/>
                    <w:jc w:val="left"/>
                    <w:jc w:val="center"/>
                  </w:pPr>
                  <w:r>
                    <w:t xml:space="preserve">-19.19810</w:t>
                  </w:r>
                </w:p>
              </w:tc>
              <w:tc>
                <w:tcPr/>
                <w:p>
                  <w:pPr>
                    <w:pStyle w:val="Compact"/>
                    <w:jc w:val="left"/>
                    <w:jc w:val="center"/>
                  </w:pPr>
                  <w:r>
                    <w:t xml:space="preserve">28</w:t>
                  </w:r>
                </w:p>
              </w:tc>
            </w:tr>
            <w:tr>
              <w:tc>
                <w:tcPr/>
                <w:p>
                  <w:pPr>
                    <w:pStyle w:val="Compact"/>
                    <w:jc w:val="left"/>
                    <w:jc w:val="center"/>
                  </w:pPr>
                  <w:r>
                    <w:t xml:space="preserve">PI_Pelorus_NW</w:t>
                  </w:r>
                </w:p>
              </w:tc>
              <w:tc>
                <w:tcPr/>
                <w:p>
                  <w:pPr>
                    <w:pStyle w:val="Compact"/>
                    <w:jc w:val="left"/>
                    <w:jc w:val="center"/>
                  </w:pPr>
                  <w:r>
                    <w:t xml:space="preserve">146.4885</w:t>
                  </w:r>
                </w:p>
              </w:tc>
              <w:tc>
                <w:tcPr/>
                <w:p>
                  <w:pPr>
                    <w:pStyle w:val="Compact"/>
                    <w:jc w:val="left"/>
                    <w:jc w:val="center"/>
                  </w:pPr>
                  <w:r>
                    <w:t xml:space="preserve">-18.54355</w:t>
                  </w:r>
                </w:p>
              </w:tc>
              <w:tc>
                <w:tcPr/>
                <w:p>
                  <w:pPr>
                    <w:pStyle w:val="Compact"/>
                    <w:jc w:val="left"/>
                    <w:jc w:val="center"/>
                  </w:pPr>
                  <w:r>
                    <w:t xml:space="preserve">137</w:t>
                  </w:r>
                </w:p>
              </w:tc>
            </w:tr>
            <w:tr>
              <w:tc>
                <w:tcPr/>
                <w:p>
                  <w:pPr>
                    <w:pStyle w:val="Compact"/>
                    <w:jc w:val="left"/>
                    <w:jc w:val="center"/>
                  </w:pPr>
                  <w:r>
                    <w:t xml:space="preserve">PI_Hazard_Sth</w:t>
                  </w:r>
                </w:p>
              </w:tc>
              <w:tc>
                <w:tcPr/>
                <w:p>
                  <w:pPr>
                    <w:pStyle w:val="Compact"/>
                    <w:jc w:val="left"/>
                    <w:jc w:val="center"/>
                  </w:pPr>
                  <w:r>
                    <w:t xml:space="preserve">146.4876</w:t>
                  </w:r>
                </w:p>
              </w:tc>
              <w:tc>
                <w:tcPr/>
                <w:p>
                  <w:pPr>
                    <w:pStyle w:val="Compact"/>
                    <w:jc w:val="left"/>
                    <w:jc w:val="center"/>
                  </w:pPr>
                  <w:r>
                    <w:t xml:space="preserve">-18.64893</w:t>
                  </w:r>
                </w:p>
              </w:tc>
              <w:tc>
                <w:tcPr/>
                <w:p>
                  <w:pPr>
                    <w:pStyle w:val="Compact"/>
                    <w:jc w:val="left"/>
                    <w:jc w:val="center"/>
                  </w:pPr>
                  <w:r>
                    <w:t xml:space="preserve">45</w:t>
                  </w:r>
                </w:p>
              </w:tc>
            </w:tr>
            <w:tr>
              <w:tc>
                <w:tcPr/>
                <w:p>
                  <w:pPr>
                    <w:pStyle w:val="Compact"/>
                    <w:jc w:val="left"/>
                    <w:jc w:val="center"/>
                  </w:pPr>
                  <w:r>
                    <w:t xml:space="preserve">PI_Pioneer_Sth</w:t>
                  </w:r>
                </w:p>
              </w:tc>
              <w:tc>
                <w:tcPr/>
                <w:p>
                  <w:pPr>
                    <w:pStyle w:val="Compact"/>
                    <w:jc w:val="left"/>
                    <w:jc w:val="center"/>
                  </w:pPr>
                  <w:r>
                    <w:t xml:space="preserve">146.4854</w:t>
                  </w:r>
                </w:p>
              </w:tc>
              <w:tc>
                <w:tcPr/>
                <w:p>
                  <w:pPr>
                    <w:pStyle w:val="Compact"/>
                    <w:jc w:val="left"/>
                    <w:jc w:val="center"/>
                  </w:pPr>
                  <w:r>
                    <w:t xml:space="preserve">-18.61183</w:t>
                  </w:r>
                </w:p>
              </w:tc>
              <w:tc>
                <w:tcPr/>
                <w:p>
                  <w:pPr>
                    <w:pStyle w:val="Compact"/>
                    <w:jc w:val="left"/>
                    <w:jc w:val="center"/>
                  </w:pPr>
                  <w:r>
                    <w:t xml:space="preserve">48</w:t>
                  </w:r>
                </w:p>
              </w:tc>
            </w:tr>
            <w:tr>
              <w:tc>
                <w:tcPr/>
                <w:p>
                  <w:pPr>
                    <w:pStyle w:val="Compact"/>
                    <w:jc w:val="left"/>
                    <w:jc w:val="center"/>
                  </w:pPr>
                  <w:r>
                    <w:t xml:space="preserve">PI_CattleBay_north</w:t>
                  </w:r>
                </w:p>
              </w:tc>
              <w:tc>
                <w:tcPr/>
                <w:p>
                  <w:pPr>
                    <w:pStyle w:val="Compact"/>
                    <w:jc w:val="left"/>
                    <w:jc w:val="center"/>
                  </w:pPr>
                  <w:r>
                    <w:t xml:space="preserve">146.4834</w:t>
                  </w:r>
                </w:p>
              </w:tc>
              <w:tc>
                <w:tcPr/>
                <w:p>
                  <w:pPr>
                    <w:pStyle w:val="Compact"/>
                    <w:jc w:val="left"/>
                    <w:jc w:val="center"/>
                  </w:pPr>
                  <w:r>
                    <w:t xml:space="preserve">-18.57226</w:t>
                  </w:r>
                </w:p>
              </w:tc>
              <w:tc>
                <w:tcPr/>
                <w:p>
                  <w:pPr>
                    <w:pStyle w:val="Compact"/>
                    <w:jc w:val="left"/>
                    <w:jc w:val="center"/>
                  </w:pPr>
                  <w:r>
                    <w:t xml:space="preserve">25</w:t>
                  </w:r>
                </w:p>
              </w:tc>
            </w:tr>
            <w:tr>
              <w:tc>
                <w:tcPr/>
                <w:p>
                  <w:pPr>
                    <w:pStyle w:val="Compact"/>
                    <w:jc w:val="left"/>
                    <w:jc w:val="center"/>
                  </w:pPr>
                  <w:r>
                    <w:t xml:space="preserve">MI_Pinewall_1</w:t>
                  </w:r>
                </w:p>
              </w:tc>
              <w:tc>
                <w:tcPr/>
                <w:p>
                  <w:pPr>
                    <w:pStyle w:val="Compact"/>
                    <w:jc w:val="left"/>
                    <w:jc w:val="center"/>
                  </w:pPr>
                  <w:r>
                    <w:t xml:space="preserve">146.8739</w:t>
                  </w:r>
                </w:p>
              </w:tc>
              <w:tc>
                <w:tcPr/>
                <w:p>
                  <w:pPr>
                    <w:pStyle w:val="Compact"/>
                    <w:jc w:val="left"/>
                    <w:jc w:val="center"/>
                  </w:pPr>
                  <w:r>
                    <w:t xml:space="preserve">-19.13817</w:t>
                  </w:r>
                </w:p>
              </w:tc>
              <w:tc>
                <w:tcPr/>
                <w:p>
                  <w:pPr>
                    <w:pStyle w:val="Compact"/>
                    <w:jc w:val="left"/>
                    <w:jc w:val="center"/>
                  </w:pPr>
                  <w:r>
                    <w:t xml:space="preserve">118</w:t>
                  </w:r>
                </w:p>
              </w:tc>
            </w:tr>
            <w:tr>
              <w:tc>
                <w:tcPr/>
                <w:p>
                  <w:pPr>
                    <w:pStyle w:val="Compact"/>
                    <w:jc w:val="left"/>
                    <w:jc w:val="center"/>
                  </w:pPr>
                  <w:r>
                    <w:t xml:space="preserve">Walker_site1</w:t>
                  </w:r>
                </w:p>
              </w:tc>
              <w:tc>
                <w:tcPr/>
                <w:p>
                  <w:pPr>
                    <w:pStyle w:val="Compact"/>
                    <w:jc w:val="left"/>
                    <w:jc w:val="center"/>
                  </w:pPr>
                  <w:r>
                    <w:t xml:space="preserve">146.7673</w:t>
                  </w:r>
                </w:p>
              </w:tc>
              <w:tc>
                <w:tcPr/>
                <w:p>
                  <w:pPr>
                    <w:pStyle w:val="Compact"/>
                    <w:jc w:val="left"/>
                    <w:jc w:val="center"/>
                  </w:pPr>
                  <w:r>
                    <w:t xml:space="preserve">-18.29963</w:t>
                  </w:r>
                </w:p>
              </w:tc>
              <w:tc>
                <w:tcPr/>
                <w:p>
                  <w:pPr>
                    <w:pStyle w:val="Compact"/>
                    <w:jc w:val="left"/>
                    <w:jc w:val="center"/>
                  </w:pPr>
                  <w:r>
                    <w:t xml:space="preserve">29</w:t>
                  </w:r>
                </w:p>
              </w:tc>
            </w:tr>
            <w:tr>
              <w:tc>
                <w:tcPr/>
                <w:p>
                  <w:pPr>
                    <w:pStyle w:val="Compact"/>
                    <w:jc w:val="left"/>
                    <w:jc w:val="center"/>
                  </w:pPr>
                  <w:r>
                    <w:t xml:space="preserve">MI_Geoffrey_inner</w:t>
                  </w:r>
                </w:p>
              </w:tc>
              <w:tc>
                <w:tcPr/>
                <w:p>
                  <w:pPr>
                    <w:pStyle w:val="Compact"/>
                    <w:jc w:val="left"/>
                    <w:jc w:val="center"/>
                  </w:pPr>
                  <w:r>
                    <w:t xml:space="preserve">146.8681</w:t>
                  </w:r>
                </w:p>
              </w:tc>
              <w:tc>
                <w:tcPr/>
                <w:p>
                  <w:pPr>
                    <w:pStyle w:val="Compact"/>
                    <w:jc w:val="left"/>
                    <w:jc w:val="center"/>
                  </w:pPr>
                  <w:r>
                    <w:t xml:space="preserve">-19.15406</w:t>
                  </w:r>
                </w:p>
              </w:tc>
              <w:tc>
                <w:tcPr/>
                <w:p>
                  <w:pPr>
                    <w:pStyle w:val="Compact"/>
                    <w:jc w:val="left"/>
                    <w:jc w:val="center"/>
                  </w:pPr>
                  <w:r>
                    <w:t xml:space="preserve">217</w:t>
                  </w:r>
                </w:p>
              </w:tc>
            </w:tr>
            <w:tr>
              <w:tc>
                <w:tcPr/>
                <w:p>
                  <w:pPr>
                    <w:pStyle w:val="Compact"/>
                    <w:jc w:val="left"/>
                    <w:jc w:val="center"/>
                  </w:pPr>
                  <w:r>
                    <w:t xml:space="preserve">MI_Gowrie Cove</w:t>
                  </w:r>
                </w:p>
              </w:tc>
              <w:tc>
                <w:tcPr/>
                <w:p>
                  <w:pPr>
                    <w:pStyle w:val="Compact"/>
                    <w:jc w:val="left"/>
                    <w:jc w:val="center"/>
                  </w:pPr>
                  <w:r>
                    <w:t xml:space="preserve">146.8809</w:t>
                  </w:r>
                </w:p>
              </w:tc>
              <w:tc>
                <w:tcPr/>
                <w:p>
                  <w:pPr>
                    <w:pStyle w:val="Compact"/>
                    <w:jc w:val="left"/>
                    <w:jc w:val="center"/>
                  </w:pPr>
                  <w:r>
                    <w:t xml:space="preserve">-19.11529</w:t>
                  </w:r>
                </w:p>
              </w:tc>
              <w:tc>
                <w:tcPr/>
                <w:p>
                  <w:pPr>
                    <w:pStyle w:val="Compact"/>
                    <w:jc w:val="left"/>
                    <w:jc w:val="center"/>
                  </w:pPr>
                  <w:r>
                    <w:t xml:space="preserve">638</w:t>
                  </w:r>
                </w:p>
              </w:tc>
            </w:tr>
            <w:tr>
              <w:tc>
                <w:tcPr/>
                <w:p>
                  <w:pPr>
                    <w:pStyle w:val="Compact"/>
                    <w:jc w:val="left"/>
                    <w:jc w:val="center"/>
                  </w:pPr>
                  <w:r>
                    <w:t xml:space="preserve">Walker_site2</w:t>
                  </w:r>
                </w:p>
              </w:tc>
              <w:tc>
                <w:tcPr/>
                <w:p>
                  <w:pPr>
                    <w:pStyle w:val="Compact"/>
                    <w:jc w:val="left"/>
                    <w:jc w:val="center"/>
                  </w:pPr>
                  <w:r>
                    <w:t xml:space="preserve">146.7735</w:t>
                  </w:r>
                </w:p>
              </w:tc>
              <w:tc>
                <w:tcPr/>
                <w:p>
                  <w:pPr>
                    <w:pStyle w:val="Compact"/>
                    <w:jc w:val="left"/>
                    <w:jc w:val="center"/>
                  </w:pPr>
                  <w:r>
                    <w:t xml:space="preserve">-18.30853</w:t>
                  </w:r>
                </w:p>
              </w:tc>
              <w:tc>
                <w:tcPr/>
                <w:p>
                  <w:pPr>
                    <w:pStyle w:val="Compact"/>
                    <w:jc w:val="left"/>
                    <w:jc w:val="center"/>
                  </w:pPr>
                  <w:r>
                    <w:t xml:space="preserve">50</w:t>
                  </w:r>
                </w:p>
              </w:tc>
            </w:tr>
            <w:tr>
              <w:tc>
                <w:tcPr/>
                <w:p>
                  <w:pPr>
                    <w:pStyle w:val="Compact"/>
                    <w:jc w:val="left"/>
                    <w:jc w:val="center"/>
                  </w:pPr>
                  <w:r>
                    <w:t xml:space="preserve">MI_Wilson Cove</w:t>
                  </w:r>
                </w:p>
              </w:tc>
              <w:tc>
                <w:tcPr/>
                <w:p>
                  <w:pPr>
                    <w:pStyle w:val="Compact"/>
                    <w:jc w:val="left"/>
                    <w:jc w:val="center"/>
                  </w:pPr>
                  <w:r>
                    <w:t xml:space="preserve">146.8146</w:t>
                  </w:r>
                </w:p>
              </w:tc>
              <w:tc>
                <w:tcPr/>
                <w:p>
                  <w:pPr>
                    <w:pStyle w:val="Compact"/>
                    <w:jc w:val="left"/>
                    <w:jc w:val="center"/>
                  </w:pPr>
                  <w:r>
                    <w:t xml:space="preserve">-19.11715</w:t>
                  </w:r>
                </w:p>
              </w:tc>
              <w:tc>
                <w:tcPr/>
                <w:p>
                  <w:pPr>
                    <w:pStyle w:val="Compact"/>
                    <w:jc w:val="left"/>
                    <w:jc w:val="center"/>
                  </w:pPr>
                  <w:r>
                    <w:t xml:space="preserve">215</w:t>
                  </w:r>
                </w:p>
              </w:tc>
            </w:tr>
            <w:tr>
              <w:tc>
                <w:tcPr/>
                <w:p>
                  <w:pPr>
                    <w:pStyle w:val="Compact"/>
                    <w:jc w:val="left"/>
                    <w:jc w:val="center"/>
                  </w:pPr>
                  <w:r>
                    <w:t xml:space="preserve">MI_Geoffrey_TR3</w:t>
                  </w:r>
                </w:p>
              </w:tc>
              <w:tc>
                <w:tcPr/>
                <w:p>
                  <w:pPr>
                    <w:pStyle w:val="Compact"/>
                    <w:jc w:val="left"/>
                    <w:jc w:val="center"/>
                  </w:pPr>
                  <w:r>
                    <w:t xml:space="preserve">146.8667</w:t>
                  </w:r>
                </w:p>
              </w:tc>
              <w:tc>
                <w:tcPr/>
                <w:p>
                  <w:pPr>
                    <w:pStyle w:val="Compact"/>
                    <w:jc w:val="left"/>
                    <w:jc w:val="center"/>
                  </w:pPr>
                  <w:r>
                    <w:t xml:space="preserve">-19.15514</w:t>
                  </w:r>
                </w:p>
              </w:tc>
              <w:tc>
                <w:tcPr/>
                <w:p>
                  <w:pPr>
                    <w:pStyle w:val="Compact"/>
                    <w:jc w:val="left"/>
                    <w:jc w:val="center"/>
                  </w:pPr>
                  <w:r>
                    <w:t xml:space="preserve">152</w:t>
                  </w:r>
                </w:p>
              </w:tc>
            </w:tr>
            <w:tr>
              <w:tc>
                <w:tcPr/>
                <w:p>
                  <w:pPr>
                    <w:pStyle w:val="Compact"/>
                    <w:jc w:val="left"/>
                    <w:jc w:val="center"/>
                  </w:pPr>
                  <w:r>
                    <w:t xml:space="preserve">MI_Geoffrey_TR4</w:t>
                  </w:r>
                </w:p>
              </w:tc>
              <w:tc>
                <w:tcPr/>
                <w:p>
                  <w:pPr>
                    <w:pStyle w:val="Compact"/>
                    <w:jc w:val="left"/>
                    <w:jc w:val="center"/>
                  </w:pPr>
                  <w:r>
                    <w:t xml:space="preserve">146.8649</w:t>
                  </w:r>
                </w:p>
              </w:tc>
              <w:tc>
                <w:tcPr/>
                <w:p>
                  <w:pPr>
                    <w:pStyle w:val="Compact"/>
                    <w:jc w:val="left"/>
                    <w:jc w:val="center"/>
                  </w:pPr>
                  <w:r>
                    <w:t xml:space="preserve">-19.15561</w:t>
                  </w:r>
                </w:p>
              </w:tc>
              <w:tc>
                <w:tcPr/>
                <w:p>
                  <w:pPr>
                    <w:pStyle w:val="Compact"/>
                    <w:jc w:val="left"/>
                    <w:jc w:val="center"/>
                  </w:pPr>
                  <w:r>
                    <w:t xml:space="preserve">161</w:t>
                  </w:r>
                </w:p>
              </w:tc>
            </w:tr>
            <w:tr>
              <w:tc>
                <w:tcPr/>
                <w:p>
                  <w:pPr>
                    <w:pStyle w:val="Compact"/>
                    <w:jc w:val="left"/>
                    <w:jc w:val="center"/>
                  </w:pPr>
                  <w:r>
                    <w:t xml:space="preserve">PI_Orpheus_NE Reef</w:t>
                  </w:r>
                </w:p>
              </w:tc>
              <w:tc>
                <w:tcPr/>
                <w:p>
                  <w:pPr>
                    <w:pStyle w:val="Compact"/>
                    <w:jc w:val="left"/>
                    <w:jc w:val="center"/>
                  </w:pPr>
                  <w:r>
                    <w:t xml:space="preserve">146.4866</w:t>
                  </w:r>
                </w:p>
              </w:tc>
              <w:tc>
                <w:tcPr/>
                <w:p>
                  <w:pPr>
                    <w:pStyle w:val="Compact"/>
                    <w:jc w:val="left"/>
                    <w:jc w:val="center"/>
                  </w:pPr>
                  <w:r>
                    <w:t xml:space="preserve">-18.56711</w:t>
                  </w:r>
                </w:p>
              </w:tc>
              <w:tc>
                <w:tcPr/>
                <w:p>
                  <w:pPr>
                    <w:pStyle w:val="Compact"/>
                    <w:jc w:val="left"/>
                    <w:jc w:val="center"/>
                  </w:pPr>
                  <w:r>
                    <w:t xml:space="preserve">57</w:t>
                  </w:r>
                </w:p>
              </w:tc>
            </w:tr>
            <w:tr>
              <w:tc>
                <w:tcPr/>
                <w:p>
                  <w:pPr>
                    <w:pStyle w:val="Compact"/>
                    <w:jc w:val="left"/>
                    <w:jc w:val="center"/>
                  </w:pPr>
                  <w:r>
                    <w:t xml:space="preserve">MI_Arthur Bay</w:t>
                  </w:r>
                </w:p>
              </w:tc>
              <w:tc>
                <w:tcPr/>
                <w:p>
                  <w:pPr>
                    <w:pStyle w:val="Compact"/>
                    <w:jc w:val="left"/>
                    <w:jc w:val="center"/>
                  </w:pPr>
                  <w:r>
                    <w:t xml:space="preserve">146.8779</w:t>
                  </w:r>
                </w:p>
              </w:tc>
              <w:tc>
                <w:tcPr/>
                <w:p>
                  <w:pPr>
                    <w:pStyle w:val="Compact"/>
                    <w:jc w:val="left"/>
                    <w:jc w:val="center"/>
                  </w:pPr>
                  <w:r>
                    <w:t xml:space="preserve">-19.12877</w:t>
                  </w:r>
                </w:p>
              </w:tc>
              <w:tc>
                <w:tcPr/>
                <w:p>
                  <w:pPr>
                    <w:pStyle w:val="Compact"/>
                    <w:jc w:val="left"/>
                    <w:jc w:val="center"/>
                  </w:pPr>
                  <w:r>
                    <w:t xml:space="preserve">502</w:t>
                  </w:r>
                </w:p>
              </w:tc>
            </w:tr>
            <w:tr>
              <w:tc>
                <w:tcPr/>
                <w:p>
                  <w:pPr>
                    <w:pStyle w:val="Compact"/>
                    <w:jc w:val="left"/>
                    <w:jc w:val="center"/>
                  </w:pPr>
                  <w:r>
                    <w:t xml:space="preserve">PI_Yanks_Nth</w:t>
                  </w:r>
                </w:p>
              </w:tc>
              <w:tc>
                <w:tcPr/>
                <w:p>
                  <w:pPr>
                    <w:pStyle w:val="Compact"/>
                    <w:jc w:val="left"/>
                    <w:jc w:val="center"/>
                  </w:pPr>
                  <w:r>
                    <w:t xml:space="preserve">146.4868</w:t>
                  </w:r>
                </w:p>
              </w:tc>
              <w:tc>
                <w:tcPr/>
                <w:p>
                  <w:pPr>
                    <w:pStyle w:val="Compact"/>
                    <w:jc w:val="left"/>
                    <w:jc w:val="center"/>
                  </w:pPr>
                  <w:r>
                    <w:t xml:space="preserve">-18.65289</w:t>
                  </w:r>
                </w:p>
              </w:tc>
              <w:tc>
                <w:tcPr/>
                <w:p>
                  <w:pPr>
                    <w:pStyle w:val="Compact"/>
                    <w:jc w:val="left"/>
                    <w:jc w:val="center"/>
                  </w:pPr>
                  <w:r>
                    <w:t xml:space="preserve">62</w:t>
                  </w:r>
                </w:p>
              </w:tc>
            </w:tr>
            <w:tr>
              <w:tc>
                <w:tcPr/>
                <w:p>
                  <w:pPr>
                    <w:pStyle w:val="Compact"/>
                    <w:jc w:val="left"/>
                    <w:jc w:val="center"/>
                  </w:pPr>
                  <w:r>
                    <w:t xml:space="preserve">PI_Pelorus_NW_cnr</w:t>
                  </w:r>
                </w:p>
              </w:tc>
              <w:tc>
                <w:tcPr/>
                <w:p>
                  <w:pPr>
                    <w:pStyle w:val="Compact"/>
                    <w:jc w:val="left"/>
                    <w:jc w:val="center"/>
                  </w:pPr>
                  <w:r>
                    <w:t xml:space="preserve">146.4895</w:t>
                  </w:r>
                </w:p>
              </w:tc>
              <w:tc>
                <w:tcPr/>
                <w:p>
                  <w:pPr>
                    <w:pStyle w:val="Compact"/>
                    <w:jc w:val="left"/>
                    <w:jc w:val="center"/>
                  </w:pPr>
                  <w:r>
                    <w:t xml:space="preserve">-18.53892</w:t>
                  </w:r>
                </w:p>
              </w:tc>
              <w:tc>
                <w:tcPr/>
                <w:p>
                  <w:pPr>
                    <w:pStyle w:val="Compact"/>
                    <w:jc w:val="left"/>
                    <w:jc w:val="center"/>
                  </w:pPr>
                  <w:r>
                    <w:t xml:space="preserve">75</w:t>
                  </w:r>
                </w:p>
              </w:tc>
            </w:tr>
            <w:tr>
              <w:tc>
                <w:tcPr/>
                <w:p>
                  <w:pPr>
                    <w:pStyle w:val="Compact"/>
                    <w:jc w:val="left"/>
                    <w:jc w:val="center"/>
                  </w:pPr>
                  <w:r>
                    <w:t xml:space="preserve">MI_Maud Bay</w:t>
                  </w:r>
                </w:p>
              </w:tc>
              <w:tc>
                <w:tcPr/>
                <w:p>
                  <w:pPr>
                    <w:pStyle w:val="Compact"/>
                    <w:jc w:val="left"/>
                    <w:jc w:val="center"/>
                  </w:pPr>
                  <w:r>
                    <w:t xml:space="preserve">146.8276</w:t>
                  </w:r>
                </w:p>
              </w:tc>
              <w:tc>
                <w:tcPr/>
                <w:p>
                  <w:pPr>
                    <w:pStyle w:val="Compact"/>
                    <w:jc w:val="left"/>
                    <w:jc w:val="center"/>
                  </w:pPr>
                  <w:r>
                    <w:t xml:space="preserve">-19.11154</w:t>
                  </w:r>
                </w:p>
              </w:tc>
              <w:tc>
                <w:tcPr/>
                <w:p>
                  <w:pPr>
                    <w:pStyle w:val="Compact"/>
                    <w:jc w:val="left"/>
                    <w:jc w:val="center"/>
                  </w:pPr>
                  <w:r>
                    <w:t xml:space="preserve">195</w:t>
                  </w:r>
                </w:p>
              </w:tc>
            </w:tr>
            <w:tr>
              <w:tc>
                <w:tcPr/>
                <w:p>
                  <w:pPr>
                    <w:pStyle w:val="Compact"/>
                    <w:jc w:val="left"/>
                    <w:jc w:val="center"/>
                  </w:pPr>
                  <w:r>
                    <w:t xml:space="preserve">MI_Pinevalley</w:t>
                  </w:r>
                </w:p>
              </w:tc>
              <w:tc>
                <w:tcPr/>
                <w:p>
                  <w:pPr>
                    <w:pStyle w:val="Compact"/>
                    <w:jc w:val="left"/>
                    <w:jc w:val="center"/>
                  </w:pPr>
                  <w:r>
                    <w:t xml:space="preserve">146.8743</w:t>
                  </w:r>
                </w:p>
              </w:tc>
              <w:tc>
                <w:tcPr/>
                <w:p>
                  <w:pPr>
                    <w:pStyle w:val="Compact"/>
                    <w:jc w:val="left"/>
                    <w:jc w:val="center"/>
                  </w:pPr>
                  <w:r>
                    <w:t xml:space="preserve">-19.13537</w:t>
                  </w:r>
                </w:p>
              </w:tc>
              <w:tc>
                <w:tcPr/>
                <w:p>
                  <w:pPr>
                    <w:pStyle w:val="Compact"/>
                    <w:jc w:val="left"/>
                    <w:jc w:val="center"/>
                  </w:pPr>
                  <w:r>
                    <w:t xml:space="preserve">205</w:t>
                  </w:r>
                </w:p>
              </w:tc>
            </w:tr>
            <w:tr>
              <w:tc>
                <w:tcPr/>
                <w:p>
                  <w:pPr>
                    <w:pStyle w:val="Compact"/>
                    <w:jc w:val="left"/>
                    <w:jc w:val="center"/>
                  </w:pPr>
                  <w:r>
                    <w:t xml:space="preserve">PI_Little_Pioneer</w:t>
                  </w:r>
                </w:p>
              </w:tc>
              <w:tc>
                <w:tcPr/>
                <w:p>
                  <w:pPr>
                    <w:pStyle w:val="Compact"/>
                    <w:jc w:val="left"/>
                    <w:jc w:val="center"/>
                  </w:pPr>
                  <w:r>
                    <w:t xml:space="preserve">146.4897</w:t>
                  </w:r>
                </w:p>
              </w:tc>
              <w:tc>
                <w:tcPr/>
                <w:p>
                  <w:pPr>
                    <w:pStyle w:val="Compact"/>
                    <w:jc w:val="left"/>
                    <w:jc w:val="center"/>
                  </w:pPr>
                  <w:r>
                    <w:t xml:space="preserve">-18.59990</w:t>
                  </w:r>
                </w:p>
              </w:tc>
              <w:tc>
                <w:tcPr/>
                <w:p>
                  <w:pPr>
                    <w:pStyle w:val="Compact"/>
                    <w:jc w:val="left"/>
                    <w:jc w:val="center"/>
                  </w:pPr>
                  <w:r>
                    <w:t xml:space="preserve">9</w:t>
                  </w:r>
                </w:p>
              </w:tc>
            </w:tr>
            <w:tr>
              <w:tc>
                <w:tcPr/>
                <w:p>
                  <w:pPr>
                    <w:pStyle w:val="Compact"/>
                    <w:jc w:val="left"/>
                    <w:jc w:val="center"/>
                  </w:pPr>
                  <w:r>
                    <w:t xml:space="preserve">MI_Fish Cove</w:t>
                  </w:r>
                </w:p>
              </w:tc>
              <w:tc>
                <w:tcPr/>
                <w:p>
                  <w:pPr>
                    <w:pStyle w:val="Compact"/>
                    <w:jc w:val="left"/>
                    <w:jc w:val="center"/>
                  </w:pPr>
                  <w:r>
                    <w:t xml:space="preserve">146.8716</w:t>
                  </w:r>
                </w:p>
              </w:tc>
              <w:tc>
                <w:tcPr/>
                <w:p>
                  <w:pPr>
                    <w:pStyle w:val="Compact"/>
                    <w:jc w:val="left"/>
                    <w:jc w:val="center"/>
                  </w:pPr>
                  <w:r>
                    <w:t xml:space="preserve">-19.14720</w:t>
                  </w:r>
                </w:p>
              </w:tc>
              <w:tc>
                <w:tcPr/>
                <w:p>
                  <w:pPr>
                    <w:pStyle w:val="Compact"/>
                    <w:jc w:val="left"/>
                    <w:jc w:val="center"/>
                  </w:pPr>
                  <w:r>
                    <w:t xml:space="preserve">520</w:t>
                  </w:r>
                </w:p>
              </w:tc>
            </w:tr>
            <w:tr>
              <w:tc>
                <w:tcPr/>
                <w:p>
                  <w:pPr>
                    <w:pStyle w:val="Compact"/>
                    <w:jc w:val="left"/>
                    <w:jc w:val="center"/>
                  </w:pPr>
                  <w:r>
                    <w:t xml:space="preserve">PI_Indigo Bay</w:t>
                  </w:r>
                </w:p>
              </w:tc>
              <w:tc>
                <w:tcPr/>
                <w:p>
                  <w:pPr>
                    <w:pStyle w:val="Compact"/>
                    <w:jc w:val="left"/>
                    <w:jc w:val="center"/>
                  </w:pPr>
                  <w:r>
                    <w:t xml:space="preserve">146.5092</w:t>
                  </w:r>
                </w:p>
              </w:tc>
              <w:tc>
                <w:tcPr/>
                <w:p>
                  <w:pPr>
                    <w:pStyle w:val="Compact"/>
                    <w:jc w:val="left"/>
                    <w:jc w:val="center"/>
                  </w:pPr>
                  <w:r>
                    <w:t xml:space="preserve">-18.66042</w:t>
                  </w:r>
                </w:p>
              </w:tc>
              <w:tc>
                <w:tcPr/>
                <w:p>
                  <w:pPr>
                    <w:pStyle w:val="Compact"/>
                    <w:jc w:val="left"/>
                    <w:jc w:val="center"/>
                  </w:pPr>
                  <w:r>
                    <w:t xml:space="preserve">119</w:t>
                  </w:r>
                </w:p>
              </w:tc>
            </w:tr>
            <w:tr>
              <w:tc>
                <w:tcPr/>
                <w:p>
                  <w:pPr>
                    <w:pStyle w:val="Compact"/>
                    <w:jc w:val="left"/>
                    <w:jc w:val="center"/>
                  </w:pPr>
                  <w:r>
                    <w:t xml:space="preserve">MI_Florence Bay</w:t>
                  </w:r>
                </w:p>
              </w:tc>
              <w:tc>
                <w:tcPr/>
                <w:p>
                  <w:pPr>
                    <w:pStyle w:val="Compact"/>
                    <w:jc w:val="left"/>
                    <w:jc w:val="center"/>
                  </w:pPr>
                  <w:r>
                    <w:t xml:space="preserve">146.8821</w:t>
                  </w:r>
                </w:p>
              </w:tc>
              <w:tc>
                <w:tcPr/>
                <w:p>
                  <w:pPr>
                    <w:pStyle w:val="Compact"/>
                    <w:jc w:val="left"/>
                    <w:jc w:val="center"/>
                  </w:pPr>
                  <w:r>
                    <w:t xml:space="preserve">-19.12114</w:t>
                  </w:r>
                </w:p>
              </w:tc>
              <w:tc>
                <w:tcPr/>
                <w:p>
                  <w:pPr>
                    <w:pStyle w:val="Compact"/>
                    <w:jc w:val="left"/>
                    <w:jc w:val="center"/>
                  </w:pPr>
                  <w:r>
                    <w:t xml:space="preserve">469</w:t>
                  </w:r>
                </w:p>
              </w:tc>
            </w:tr>
            <w:tr>
              <w:tc>
                <w:tcPr/>
                <w:p>
                  <w:pPr>
                    <w:pStyle w:val="Compact"/>
                    <w:jc w:val="left"/>
                    <w:jc w:val="center"/>
                  </w:pPr>
                  <w:r>
                    <w:t xml:space="preserve">MI_Geoffrey_mid</w:t>
                  </w:r>
                </w:p>
              </w:tc>
              <w:tc>
                <w:tcPr/>
                <w:p>
                  <w:pPr>
                    <w:pStyle w:val="Compact"/>
                    <w:jc w:val="left"/>
                    <w:jc w:val="center"/>
                  </w:pPr>
                  <w:r>
                    <w:t xml:space="preserve">146.8660</w:t>
                  </w:r>
                </w:p>
              </w:tc>
              <w:tc>
                <w:tcPr/>
                <w:p>
                  <w:pPr>
                    <w:pStyle w:val="Compact"/>
                    <w:jc w:val="left"/>
                    <w:jc w:val="center"/>
                  </w:pPr>
                  <w:r>
                    <w:t xml:space="preserve">-19.15476</w:t>
                  </w:r>
                </w:p>
              </w:tc>
              <w:tc>
                <w:tcPr/>
                <w:p>
                  <w:pPr>
                    <w:pStyle w:val="Compact"/>
                    <w:jc w:val="left"/>
                    <w:jc w:val="center"/>
                  </w:pPr>
                  <w:r>
                    <w:t xml:space="preserve">31</w:t>
                  </w:r>
                </w:p>
              </w:tc>
            </w:tr>
            <w:tr>
              <w:tc>
                <w:tcPr/>
                <w:p>
                  <w:pPr>
                    <w:pStyle w:val="Compact"/>
                    <w:jc w:val="left"/>
                    <w:jc w:val="center"/>
                  </w:pPr>
                  <w:r>
                    <w:t xml:space="preserve">HB_Herald_1</w:t>
                  </w:r>
                </w:p>
              </w:tc>
              <w:tc>
                <w:tcPr/>
                <w:p>
                  <w:pPr>
                    <w:pStyle w:val="Compact"/>
                    <w:jc w:val="left"/>
                    <w:jc w:val="center"/>
                  </w:pPr>
                  <w:r>
                    <w:t xml:space="preserve">146.6361</w:t>
                  </w:r>
                </w:p>
              </w:tc>
              <w:tc>
                <w:tcPr/>
                <w:p>
                  <w:pPr>
                    <w:pStyle w:val="Compact"/>
                    <w:jc w:val="left"/>
                    <w:jc w:val="center"/>
                  </w:pPr>
                  <w:r>
                    <w:t xml:space="preserve">-19.03451</w:t>
                  </w:r>
                </w:p>
              </w:tc>
              <w:tc>
                <w:tcPr/>
                <w:p>
                  <w:pPr>
                    <w:pStyle w:val="Compact"/>
                    <w:jc w:val="left"/>
                    <w:jc w:val="center"/>
                  </w:pPr>
                  <w:r>
                    <w:t xml:space="preserve">13</w:t>
                  </w:r>
                </w:p>
              </w:tc>
            </w:tr>
          </w:tbl>
          <w:bookmarkEnd w:id="67"/>
          <w:p/>
        </w:tc>
      </w:tr>
    </w:tbl>
    <w:p>
      <w:r>
        <w:br w:type="page"/>
      </w:r>
    </w:p>
    <w:bookmarkEnd w:id="68"/>
    <w:bookmarkStart w:id="74" w:name="Xcd43fe7d1e2ec1eb055cc66f47c4c9e0c966fcf"/>
    <w:p>
      <w:pPr>
        <w:pStyle w:val="Heading2"/>
      </w:pPr>
      <w:r>
        <w:t xml:space="preserve">Tips for Writing a Technical Report on Coral Reef Monitoring Results</w:t>
      </w:r>
    </w:p>
    <w:p>
      <w:pPr>
        <w:pStyle w:val="FirstParagraph"/>
      </w:pPr>
      <w:r>
        <w:t xml:space="preserve">When writing a technical report on coral reef monitoring results for a non-technical but knowledgeable audience, it is essential to communicate complex scientific information clearly and effectively. Here are some tips to help you achieve this:</w:t>
      </w:r>
    </w:p>
    <w:p>
      <w:pPr>
        <w:numPr>
          <w:ilvl w:val="0"/>
          <w:numId w:val="1006"/>
        </w:numPr>
      </w:pPr>
      <w:r>
        <w:rPr>
          <w:b/>
          <w:bCs/>
        </w:rPr>
        <w:t xml:space="preserve">Know Your Audience</w:t>
      </w:r>
      <w:r>
        <w:t xml:space="preserve">: Understand the background and interests of your audience. Tailor your language and explanations to their level of knowledge, avoiding jargon and overly technical terms.</w:t>
      </w:r>
    </w:p>
    <w:p>
      <w:pPr>
        <w:numPr>
          <w:ilvl w:val="0"/>
          <w:numId w:val="1006"/>
        </w:numPr>
      </w:pPr>
      <w:r>
        <w:rPr>
          <w:b/>
          <w:bCs/>
        </w:rPr>
        <w:t xml:space="preserve">Clear Structure</w:t>
      </w:r>
      <w:r>
        <w:t xml:space="preserve">: Organize your report with a clear structure, including an introduction, methodology, results, discussion, and conclusion. Use headings and subheadings to guide the reader through the content.</w:t>
      </w:r>
    </w:p>
    <w:p>
      <w:pPr>
        <w:numPr>
          <w:ilvl w:val="0"/>
          <w:numId w:val="1006"/>
        </w:numPr>
      </w:pPr>
      <w:r>
        <w:rPr>
          <w:b/>
          <w:bCs/>
        </w:rPr>
        <w:t xml:space="preserve">Visual Aids</w:t>
      </w:r>
      <w:r>
        <w:t xml:space="preserve">: Use charts, graphs, maps, and images to illustrate key points and make data more accessible. Visual aids can help convey complex information quickly and effectively.</w:t>
      </w:r>
    </w:p>
    <w:p>
      <w:pPr>
        <w:numPr>
          <w:ilvl w:val="0"/>
          <w:numId w:val="1006"/>
        </w:numPr>
      </w:pPr>
      <w:r>
        <w:rPr>
          <w:b/>
          <w:bCs/>
        </w:rPr>
        <w:t xml:space="preserve">Simplify Data Presentation</w:t>
      </w:r>
      <w:r>
        <w:t xml:space="preserve">: Present data in a simplified manner. Use summary statistics, percentages, and averages to highlight key findings. Avoid overwhelming the reader with too much raw data.</w:t>
      </w:r>
    </w:p>
    <w:p>
      <w:pPr>
        <w:numPr>
          <w:ilvl w:val="0"/>
          <w:numId w:val="1006"/>
        </w:numPr>
      </w:pPr>
      <w:r>
        <w:rPr>
          <w:b/>
          <w:bCs/>
        </w:rPr>
        <w:t xml:space="preserve">Contextualize Findings</w:t>
      </w:r>
      <w:r>
        <w:t xml:space="preserve">: Provide context for your findings by comparing them to previous studies or historical data. Explain the significance of the results and their implications for coral reef conservation and management.</w:t>
      </w:r>
    </w:p>
    <w:p>
      <w:pPr>
        <w:numPr>
          <w:ilvl w:val="0"/>
          <w:numId w:val="1006"/>
        </w:numPr>
      </w:pPr>
      <w:r>
        <w:rPr>
          <w:b/>
          <w:bCs/>
        </w:rPr>
        <w:t xml:space="preserve">Use Analogies and Examples</w:t>
      </w:r>
      <w:r>
        <w:t xml:space="preserve">: Use analogies and real-world examples to explain complex concepts. This can help make the information more relatable and easier to understand.</w:t>
      </w:r>
    </w:p>
    <w:p>
      <w:pPr>
        <w:numPr>
          <w:ilvl w:val="0"/>
          <w:numId w:val="1006"/>
        </w:numPr>
      </w:pPr>
      <w:r>
        <w:rPr>
          <w:b/>
          <w:bCs/>
        </w:rPr>
        <w:t xml:space="preserve">Highlight Key Messages</w:t>
      </w:r>
      <w:r>
        <w:t xml:space="preserve">: Identify and emphasize the key messages you want your audience to take away from the report. Use bullet points, bold text, or call-out boxes to draw attention to these points.</w:t>
      </w:r>
    </w:p>
    <w:p>
      <w:pPr>
        <w:numPr>
          <w:ilvl w:val="0"/>
          <w:numId w:val="1006"/>
        </w:numPr>
      </w:pPr>
      <w:r>
        <w:rPr>
          <w:b/>
          <w:bCs/>
        </w:rPr>
        <w:t xml:space="preserve">Provide Recommendations</w:t>
      </w:r>
      <w:r>
        <w:t xml:space="preserve">: Offer clear and actionable recommendations based on your findings. Explain how these recommendations can be implemented and their potential impact on coral reef conservation.</w:t>
      </w:r>
    </w:p>
    <w:p>
      <w:pPr>
        <w:numPr>
          <w:ilvl w:val="0"/>
          <w:numId w:val="1006"/>
        </w:numPr>
      </w:pPr>
      <w:r>
        <w:rPr>
          <w:b/>
          <w:bCs/>
        </w:rPr>
        <w:t xml:space="preserve">Cite Sources</w:t>
      </w:r>
      <w:r>
        <w:t xml:space="preserve">: Include scientific references and citations to support your findings and provide credibility to your report. Use a consistent citation style throughout the document.</w:t>
      </w:r>
    </w:p>
    <w:p>
      <w:pPr>
        <w:numPr>
          <w:ilvl w:val="0"/>
          <w:numId w:val="1006"/>
        </w:numPr>
      </w:pPr>
      <w:r>
        <w:rPr>
          <w:b/>
          <w:bCs/>
        </w:rPr>
        <w:t xml:space="preserve">Review and Edit</w:t>
      </w:r>
      <w:r>
        <w:t xml:space="preserve">: Review your report for clarity, accuracy, and coherence. Seek feedback from colleagues or experts to ensure that your report is well-written and effectively communicates your findings.</w:t>
      </w:r>
    </w:p>
    <w:bookmarkStart w:id="73" w:name="useful-writing-resources"/>
    <w:p>
      <w:pPr>
        <w:pStyle w:val="Heading3"/>
      </w:pPr>
      <w:r>
        <w:t xml:space="preserve">Useful Writing Resources</w:t>
      </w:r>
    </w:p>
    <w:p>
      <w:pPr>
        <w:pStyle w:val="Compact"/>
        <w:numPr>
          <w:ilvl w:val="0"/>
          <w:numId w:val="1007"/>
        </w:numPr>
      </w:pPr>
      <w:hyperlink r:id="rId69">
        <w:r>
          <w:rPr>
            <w:rStyle w:val="Hyperlink"/>
          </w:rPr>
          <w:t xml:space="preserve">Emphasis - Technical Writing</w:t>
        </w:r>
      </w:hyperlink>
    </w:p>
    <w:p>
      <w:pPr>
        <w:pStyle w:val="Compact"/>
        <w:numPr>
          <w:ilvl w:val="0"/>
          <w:numId w:val="1007"/>
        </w:numPr>
      </w:pPr>
      <w:hyperlink r:id="rId70">
        <w:r>
          <w:rPr>
            <w:rStyle w:val="Hyperlink"/>
          </w:rPr>
          <w:t xml:space="preserve">Purdue Online Writing Lab (OWL)</w:t>
        </w:r>
      </w:hyperlink>
    </w:p>
    <w:p>
      <w:pPr>
        <w:pStyle w:val="Compact"/>
        <w:numPr>
          <w:ilvl w:val="0"/>
          <w:numId w:val="1007"/>
        </w:numPr>
      </w:pPr>
      <w:hyperlink r:id="rId71">
        <w:r>
          <w:rPr>
            <w:rStyle w:val="Hyperlink"/>
          </w:rPr>
          <w:t xml:space="preserve">Technical Writing for Environmental Professionals</w:t>
        </w:r>
      </w:hyperlink>
    </w:p>
    <w:p>
      <w:pPr>
        <w:pStyle w:val="Compact"/>
        <w:numPr>
          <w:ilvl w:val="0"/>
          <w:numId w:val="1007"/>
        </w:numPr>
      </w:pPr>
      <w:hyperlink r:id="rId72">
        <w:r>
          <w:rPr>
            <w:rStyle w:val="Hyperlink"/>
          </w:rPr>
          <w:t xml:space="preserve">Effective Communication for Scientists</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_rels/footnotes.xml.rels><?xml version="1.0" encoding="UTF-8"?><Relationships xmlns="http://schemas.openxmlformats.org/package/2006/relationships"><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@Australian Institute of Marine Science</dc:creator>
  <cp:keywords/>
  <dcterms:created xsi:type="dcterms:W3CDTF">2025-03-03T23:26:08Z</dcterms:created>
  <dcterms:modified xsi:type="dcterms:W3CDTF">2025-03-03T23:26:08Z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ate">
    <vt:lpwstr>2025-03-04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mainfont">
    <vt:lpwstr>Arial</vt:lpwstr>
  </property>
  <property fmtid="{D5CDD505-2E9C-101B-9397-08002B2CF9AE}" pid="14" name="params">
    <vt:lpwstr/>
  </property>
  <property fmtid="{D5CDD505-2E9C-101B-9397-08002B2CF9AE}" pid="15" name="subtitle">
    <vt:lpwstr>Coral reefs habitat status and trends</vt:lpwstr>
  </property>
  <property fmtid="{D5CDD505-2E9C-101B-9397-08002B2CF9AE}" pid="16" name="toc-title">
    <vt:lpwstr>Table of contents</vt:lpwstr>
  </property>
</Properties>
</file>