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:intr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Quinn and Keough (2002)</w:t>
      </w:r>
      <w:r>
        <w:t xml:space="preserve"> </w:t>
      </w:r>
      <w:r>
        <w:t xml:space="preserve">described something important about ecological statistics in general.</w:t>
      </w:r>
      <w:r>
        <w:t xml:space="preserve"> </w:t>
      </w:r>
      <w:r>
        <w:t xml:space="preserve">Something important about generalized mixed models</w:t>
      </w:r>
      <w:r>
        <w:t xml:space="preserve"> </w:t>
      </w:r>
      <w:r>
        <w:t xml:space="preserve">(Bolker et al., 2008)</w:t>
      </w:r>
      <w:r>
        <w:t xml:space="preserve">.</w:t>
      </w:r>
    </w:p>
    <w:bookmarkEnd w:id="20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Start w:id="21" w:name="ref-Bolker-2008-127"/>
    <w:p>
      <w:pPr>
        <w:pStyle w:val="Bibliography"/>
      </w:pPr>
      <w:r>
        <w:t xml:space="preserve">Bolker, B.M., Brooks, M.E., Clark, C.J., Geange, S.W., Poulsen, J.R., Stevens, H.H., White, J.S., 2008. Generalized linear mixed models: A practical guide for ecology and evolution. Trends in Ecology and Evolution 24, 127–135.</w:t>
      </w:r>
    </w:p>
    <w:bookmarkEnd w:id="21"/>
    <w:bookmarkStart w:id="22" w:name="ref-Quinn-2002-2002"/>
    <w:p>
      <w:pPr>
        <w:pStyle w:val="Bibliography"/>
      </w:pPr>
      <w:r>
        <w:t xml:space="preserve">Quinn, G.P., Keough, K.J., 2002. Experimental design and data analysis for biologists. Cambridge University Press, London.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2023-10-03T05:58:26Z</dcterms:created>
  <dcterms:modified xsi:type="dcterms:W3CDTF">2023-10-03T05:58:26Z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../resources/references.bib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../resources/marine-pollution-bulletin.csl</vt:lpwstr>
  </property>
  <property fmtid="{D5CDD505-2E9C-101B-9397-08002B2CF9AE}" pid="15" name="date">
    <vt:lpwstr>14-02-2013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/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False</vt:lpwstr>
  </property>
  <property fmtid="{D5CDD505-2E9C-101B-9397-08002B2CF9AE}" pid="65" name="tableTemplate">
    <vt:lpwstr>tableTitle ititleDelim t</vt:lpwstr>
  </property>
  <property fmtid="{D5CDD505-2E9C-101B-9397-08002B2CF9AE}" pid="66" name="tableTitle">
    <vt:lpwstr>Table</vt:lpwstr>
  </property>
  <property fmtid="{D5CDD505-2E9C-101B-9397-08002B2CF9AE}" pid="67" name="tblLabels">
    <vt:lpwstr>arabic</vt:lpwstr>
  </property>
  <property fmtid="{D5CDD505-2E9C-101B-9397-08002B2CF9AE}" pid="68" name="tblPrefix">
    <vt:lpwstr/>
  </property>
  <property fmtid="{D5CDD505-2E9C-101B-9397-08002B2CF9AE}" pid="69" name="tblPrefixTemplate">
    <vt:lpwstr>p i</vt:lpwstr>
  </property>
  <property fmtid="{D5CDD505-2E9C-101B-9397-08002B2CF9AE}" pid="70" name="titleDelim">
    <vt:lpwstr>:</vt:lpwstr>
  </property>
</Properties>
</file>