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64E7B" w14:textId="77777777" w:rsidR="00D0736C" w:rsidRDefault="00D0736C" w:rsidP="00D0736C">
      <w:pPr>
        <w:pStyle w:val="IEEETitle"/>
      </w:pPr>
      <w:r>
        <w:t xml:space="preserve">       Evaluating Bidirectional Label-Flipping and a Hybrid KNN-OOF Defense for ML-Based Network Intrusion Detection</w:t>
      </w:r>
    </w:p>
    <w:p w14:paraId="4AF683E8" w14:textId="0BFD8C8B" w:rsidR="00323A8A" w:rsidRPr="00323A8A" w:rsidRDefault="00323A8A" w:rsidP="00323A8A">
      <w:pPr>
        <w:pStyle w:val="IEEEAuthorName"/>
        <w:rPr>
          <w:lang w:val="en-AU" w:eastAsia="zh-CN"/>
        </w:rPr>
      </w:pPr>
    </w:p>
    <w:p w14:paraId="7E7C1848" w14:textId="77777777" w:rsidR="00D41274" w:rsidRPr="00D41274" w:rsidRDefault="00D41274" w:rsidP="00D41274"/>
    <w:p w14:paraId="79BC7C36" w14:textId="77777777" w:rsidR="00D41274" w:rsidRDefault="00D41274" w:rsidP="00883903">
      <w:pPr>
        <w:ind w:right="-811"/>
        <w:sectPr w:rsidR="00D41274" w:rsidSect="00883903">
          <w:pgSz w:w="11906" w:h="16838"/>
          <w:pgMar w:top="1077" w:right="811" w:bottom="2438" w:left="0" w:header="709" w:footer="709" w:gutter="0"/>
          <w:cols w:space="708"/>
          <w:docGrid w:linePitch="360"/>
        </w:sectPr>
      </w:pPr>
    </w:p>
    <w:p w14:paraId="4EF61FC6" w14:textId="77777777" w:rsidR="00D41274" w:rsidRDefault="00D41274" w:rsidP="00D41274">
      <w:pPr>
        <w:pStyle w:val="IEEEAbtract"/>
      </w:pPr>
      <w:r w:rsidRPr="002162BB">
        <w:rPr>
          <w:rStyle w:val="IEEEAbstractHeadingChar"/>
        </w:rPr>
        <w:t>Ab</w:t>
      </w:r>
      <w:r w:rsidR="0064799C">
        <w:rPr>
          <w:rStyle w:val="IEEEAbstractHeadingChar"/>
        </w:rPr>
        <w:t>s</w:t>
      </w:r>
      <w:r w:rsidRPr="002162BB">
        <w:rPr>
          <w:rStyle w:val="IEEEAbstractHeadingChar"/>
        </w:rPr>
        <w:t>tract</w:t>
      </w:r>
      <w:r w:rsidRPr="002162BB">
        <w:t xml:space="preserve">— </w:t>
      </w:r>
      <w:r w:rsidR="0064799C">
        <w:t>T</w:t>
      </w:r>
      <w:r w:rsidR="0064799C" w:rsidRPr="002162BB">
        <w:t>his</w:t>
      </w:r>
      <w:r w:rsidRPr="002162BB">
        <w:t xml:space="preserve"> document gives formatting instructions for authors preparing </w:t>
      </w:r>
      <w:r w:rsidR="00FA6751">
        <w:t>paper</w:t>
      </w:r>
      <w:r w:rsidRPr="002162BB">
        <w:t xml:space="preserve">s for publication in the Proceedings of </w:t>
      </w:r>
      <w:r>
        <w:t>an IEEE conference.</w:t>
      </w:r>
      <w:r w:rsidRPr="002162BB">
        <w:t xml:space="preserve"> </w:t>
      </w:r>
      <w:r w:rsidR="003F3A61">
        <w:t xml:space="preserve"> </w:t>
      </w:r>
      <w:r w:rsidRPr="002162BB">
        <w:t xml:space="preserve">The authors must follow the instructions given in the document for the </w:t>
      </w:r>
      <w:r w:rsidR="00FA6751">
        <w:t>paper</w:t>
      </w:r>
      <w:r w:rsidRPr="002162BB">
        <w:t xml:space="preserve">s to be published. </w:t>
      </w:r>
      <w:r w:rsidR="003F3A61">
        <w:t xml:space="preserve"> </w:t>
      </w:r>
      <w:r w:rsidRPr="002162BB">
        <w:t>You can use this document as both an instruction set and as a template into which you can type your own text.</w:t>
      </w:r>
    </w:p>
    <w:p w14:paraId="532DC805" w14:textId="77777777" w:rsidR="00A32BFA" w:rsidRDefault="00A32BFA" w:rsidP="00A32BFA">
      <w:pPr>
        <w:rPr>
          <w:lang w:val="en-GB" w:eastAsia="en-GB"/>
        </w:rPr>
      </w:pPr>
    </w:p>
    <w:p w14:paraId="1E5F4089" w14:textId="0970E64A" w:rsidR="00A32BFA" w:rsidRPr="00A32BFA" w:rsidRDefault="00A32BFA" w:rsidP="00A32BFA">
      <w:pPr>
        <w:rPr>
          <w:lang w:val="en-GB" w:eastAsia="en-GB"/>
        </w:rPr>
      </w:pPr>
      <w:r>
        <w:rPr>
          <w:rStyle w:val="IEEEAbstractHeadingChar"/>
        </w:rPr>
        <w:t>Keywords</w:t>
      </w:r>
      <w:r w:rsidRPr="002162BB">
        <w:t xml:space="preserve">— </w:t>
      </w:r>
      <w:r w:rsidR="00523A20">
        <w:rPr>
          <w:rStyle w:val="IEEEAbtractChar"/>
        </w:rPr>
        <w:t>Network Intrusion Detection Systems (NIDS), Adversarial Machine Learning, Data Poisoning, Label-Flipping Attack, UNSW-NB15, KNN, Out-of-Fold Prediction</w:t>
      </w:r>
    </w:p>
    <w:p w14:paraId="473B7DA5" w14:textId="77777777" w:rsidR="00AD335D" w:rsidRDefault="00AD335D" w:rsidP="00081EBE">
      <w:pPr>
        <w:pStyle w:val="IEEEHeading1"/>
      </w:pPr>
      <w:r>
        <w:t>Introduction</w:t>
      </w:r>
    </w:p>
    <w:p w14:paraId="77649FA8" w14:textId="404D1690" w:rsidR="00523A20" w:rsidRPr="00523A20" w:rsidRDefault="00523A20" w:rsidP="00523A20">
      <w:pPr>
        <w:pStyle w:val="IEEEHeading2"/>
      </w:pPr>
      <w:r>
        <w:t>Problem Statement</w:t>
      </w:r>
    </w:p>
    <w:p w14:paraId="21E326EE" w14:textId="2193CB69" w:rsidR="00042A74" w:rsidRDefault="00042A74" w:rsidP="00042A74">
      <w:pPr>
        <w:ind w:firstLine="289"/>
        <w:jc w:val="both"/>
        <w:rPr>
          <w:lang w:val="en-US"/>
        </w:rPr>
      </w:pPr>
      <w:r w:rsidRPr="00042A74">
        <w:rPr>
          <w:lang w:val="en-US"/>
        </w:rPr>
        <w:t xml:space="preserve">Nowadays, many networks are subject to cyberattacks in which attackers gain access and interfere with the network maliciously. Network intrusion is a well-known cybersecurity threat, and with ongoing technological advances, many machine-learning-based models have been increasingly used and extensively trained to distinguish between normal and malicious traffic. However, the performance of such models depends heavily on the quality of the data they are trained on, making them vulnerable to data poisoning and cyberattacks. One such attack is label flipping, in which an attacker manipulates the training data by switching the labels of some samples, such as labeling attack traffic as </w:t>
      </w:r>
      <w:r w:rsidR="00773080">
        <w:rPr>
          <w:lang w:val="en-US"/>
        </w:rPr>
        <w:t>benign or benign traffic as attack</w:t>
      </w:r>
      <w:r w:rsidRPr="00042A74">
        <w:rPr>
          <w:lang w:val="en-US"/>
        </w:rPr>
        <w:t>. This can cause the model to learn incorrect classifications and patterns, affecting its performance by reducing its ability to identify malicious traffic accurately.</w:t>
      </w:r>
    </w:p>
    <w:p w14:paraId="44BCEE60" w14:textId="1A7BE2C3" w:rsidR="00042A74" w:rsidRPr="00523A20" w:rsidRDefault="00523A20" w:rsidP="00523A20">
      <w:pPr>
        <w:pStyle w:val="IEEEHeading2"/>
      </w:pPr>
      <w:r>
        <w:t>Motivation</w:t>
      </w:r>
    </w:p>
    <w:p w14:paraId="6248B733" w14:textId="1C29F7F2" w:rsidR="00042A74" w:rsidRPr="00042A74" w:rsidRDefault="00042A74" w:rsidP="00042A74">
      <w:pPr>
        <w:ind w:firstLine="289"/>
        <w:jc w:val="both"/>
        <w:rPr>
          <w:lang w:val="en-US"/>
        </w:rPr>
      </w:pPr>
      <w:r w:rsidRPr="00042A74">
        <w:rPr>
          <w:lang w:val="en-US"/>
        </w:rPr>
        <w:t xml:space="preserve">These reduced detection capabilities can have serious consequences for individuals and organizations, as network intrusion attacks may go undetected. Through these attacks, an attacker can gain unauthorized access to the system, steal sensitive information, disrupt services, and cause data breaches. Because of this, ML-based Network </w:t>
      </w:r>
      <w:r w:rsidRPr="00042A74">
        <w:rPr>
          <w:lang w:val="en-US"/>
        </w:rPr>
        <w:t xml:space="preserve">Intrusion </w:t>
      </w:r>
      <w:r w:rsidR="00773080">
        <w:rPr>
          <w:lang w:val="en-US"/>
        </w:rPr>
        <w:t>D</w:t>
      </w:r>
      <w:r w:rsidRPr="00042A74">
        <w:rPr>
          <w:lang w:val="en-US"/>
        </w:rPr>
        <w:t>etectors need to be accurate and reliable so that organizations and individuals can use them efficiently without letting malicious intrusion attempts bypass detection. Therefore, analyzing the impact of label-flipping attacks on ML-based NIDS is crucial for understanding how vulnerable they are to these threats and how their performance and capabilities can be affected. This can further help us identify ways to make them more resistant to such attacks, improving robustness and reliability.</w:t>
      </w:r>
    </w:p>
    <w:p w14:paraId="255410D8" w14:textId="3F87921B" w:rsidR="00081EBE" w:rsidRDefault="00042A74" w:rsidP="00081EBE">
      <w:pPr>
        <w:pStyle w:val="IEEEHeading1"/>
      </w:pPr>
      <w:r>
        <w:t>Methodology</w:t>
      </w:r>
      <w:r w:rsidR="00F136F0">
        <w:t xml:space="preserve"> </w:t>
      </w:r>
    </w:p>
    <w:p w14:paraId="16921D6A" w14:textId="603094AD" w:rsidR="002448EE" w:rsidRPr="002448EE" w:rsidRDefault="002448EE" w:rsidP="002448EE">
      <w:pPr>
        <w:pStyle w:val="IEEEParagraph"/>
        <w:ind w:firstLine="289"/>
      </w:pPr>
      <w:r>
        <w:t xml:space="preserve">The proposed methodology consists of dataset preparation, baseline model </w:t>
      </w:r>
      <w:r w:rsidR="006B6A17">
        <w:t>training</w:t>
      </w:r>
      <w:r>
        <w:t xml:space="preserve">, simulation of label-flipping attacks, </w:t>
      </w:r>
      <w:r w:rsidR="003B3FFB">
        <w:t>defense</w:t>
      </w:r>
      <w:r>
        <w:t xml:space="preserve"> implementation, and performance evaluation.</w:t>
      </w:r>
    </w:p>
    <w:p w14:paraId="79F531F0" w14:textId="6822B709" w:rsidR="00DD7F83" w:rsidRDefault="00042A74" w:rsidP="0027227B">
      <w:pPr>
        <w:pStyle w:val="IEEEHeading2"/>
      </w:pPr>
      <w:r>
        <w:t>Proposed Approach</w:t>
      </w:r>
    </w:p>
    <w:p w14:paraId="76B32E82" w14:textId="20C4E94F" w:rsidR="00042A74" w:rsidRPr="00042A74" w:rsidRDefault="00042A74" w:rsidP="00042A74">
      <w:pPr>
        <w:ind w:firstLine="289"/>
        <w:jc w:val="both"/>
        <w:rPr>
          <w:lang w:val="en-US"/>
        </w:rPr>
      </w:pPr>
      <w:r w:rsidRPr="00042A74">
        <w:rPr>
          <w:lang w:val="en-US"/>
        </w:rPr>
        <w:t xml:space="preserve">First, we will prepare our dataset, the UNSW-NB15 dataset, which consists of benign traffic and nine types of network intrusion attacks (e.g., DoS, Exploits, Reconnaissance). The classification task will use </w:t>
      </w:r>
      <w:r w:rsidR="003412B1">
        <w:rPr>
          <w:lang w:val="en-US"/>
        </w:rPr>
        <w:t>the existing binary label provided in the dataset, where 0 represents (Benign) traffic, and 1 represents (Attack) traffic</w:t>
      </w:r>
      <w:r w:rsidRPr="00042A74">
        <w:rPr>
          <w:lang w:val="en-US"/>
        </w:rPr>
        <w:t>. We will also clean the dataset by removing missing or null values. We will then divide the dataset into training, validation, and test sets, following a 70%, 15%, and 15% split.</w:t>
      </w:r>
    </w:p>
    <w:p w14:paraId="530C2178" w14:textId="5BF7538E" w:rsidR="00042A74" w:rsidRPr="00042A74" w:rsidRDefault="00042A74" w:rsidP="00042A74">
      <w:pPr>
        <w:jc w:val="both"/>
        <w:rPr>
          <w:lang w:val="en-US"/>
        </w:rPr>
      </w:pPr>
      <w:r w:rsidRPr="00042A74">
        <w:rPr>
          <w:lang w:val="en-US"/>
        </w:rPr>
        <w:t xml:space="preserve">Next, we will train the ML models, specifically Random Forest and Decision Tree, on the clean training set and showcase the </w:t>
      </w:r>
      <w:r w:rsidR="002448EE">
        <w:rPr>
          <w:lang w:val="en-US"/>
        </w:rPr>
        <w:t>baseline</w:t>
      </w:r>
      <w:r w:rsidRPr="00042A74">
        <w:rPr>
          <w:lang w:val="en-US"/>
        </w:rPr>
        <w:t xml:space="preserve"> NIDS performance before the attacks by testing them on the test set. Their performance will then be evaluated using key metrics such as accuracy, precision, recall, F1-score, and the confusion matrix.</w:t>
      </w:r>
    </w:p>
    <w:p w14:paraId="136CD655" w14:textId="760F719D" w:rsidR="00042A74" w:rsidRPr="00042A74" w:rsidRDefault="00042A74" w:rsidP="00042A74">
      <w:pPr>
        <w:jc w:val="both"/>
        <w:rPr>
          <w:lang w:val="en-US"/>
        </w:rPr>
      </w:pPr>
      <w:r w:rsidRPr="00042A74">
        <w:rPr>
          <w:lang w:val="en-US"/>
        </w:rPr>
        <w:t>After that, we will poison the training set</w:t>
      </w:r>
      <w:r w:rsidR="003412B1">
        <w:rPr>
          <w:lang w:val="en-US"/>
        </w:rPr>
        <w:t xml:space="preserve"> using a </w:t>
      </w:r>
      <w:r w:rsidR="00F25DCB">
        <w:rPr>
          <w:lang w:val="en-US"/>
        </w:rPr>
        <w:t>bidirectional</w:t>
      </w:r>
      <w:r w:rsidR="003412B1">
        <w:rPr>
          <w:lang w:val="en-US"/>
        </w:rPr>
        <w:t xml:space="preserve"> label-flipping attack</w:t>
      </w:r>
      <w:r w:rsidRPr="00042A74">
        <w:rPr>
          <w:lang w:val="en-US"/>
        </w:rPr>
        <w:t xml:space="preserve"> by changing the</w:t>
      </w:r>
      <w:r w:rsidR="003412B1">
        <w:rPr>
          <w:lang w:val="en-US"/>
        </w:rPr>
        <w:t xml:space="preserve"> selected</w:t>
      </w:r>
      <w:r w:rsidRPr="00042A74">
        <w:rPr>
          <w:lang w:val="en-US"/>
        </w:rPr>
        <w:t xml:space="preserve"> labels</w:t>
      </w:r>
      <w:r w:rsidR="003412B1">
        <w:rPr>
          <w:lang w:val="en-US"/>
        </w:rPr>
        <w:t xml:space="preserve"> from attack (1) to benign (0)</w:t>
      </w:r>
      <w:r w:rsidRPr="00042A74">
        <w:rPr>
          <w:lang w:val="en-US"/>
        </w:rPr>
        <w:t>,</w:t>
      </w:r>
      <w:r w:rsidR="00F25DCB">
        <w:rPr>
          <w:lang w:val="en-US"/>
        </w:rPr>
        <w:t xml:space="preserve"> and vice versa,</w:t>
      </w:r>
      <w:r w:rsidRPr="00042A74">
        <w:rPr>
          <w:lang w:val="en-US"/>
        </w:rPr>
        <w:t xml:space="preserve"> at </w:t>
      </w:r>
      <w:r w:rsidR="00491D99">
        <w:rPr>
          <w:lang w:val="en-US"/>
        </w:rPr>
        <w:t>poisoning</w:t>
      </w:r>
      <w:r w:rsidRPr="00042A74">
        <w:rPr>
          <w:lang w:val="en-US"/>
        </w:rPr>
        <w:t xml:space="preserve"> </w:t>
      </w:r>
      <w:r w:rsidR="00491D99">
        <w:rPr>
          <w:lang w:val="en-US"/>
        </w:rPr>
        <w:t>rates of</w:t>
      </w:r>
      <w:r w:rsidRPr="00042A74">
        <w:rPr>
          <w:lang w:val="en-US"/>
        </w:rPr>
        <w:t xml:space="preserve"> 10%, 20%, and 30% of the overall training set. The models will </w:t>
      </w:r>
      <w:r w:rsidRPr="00042A74">
        <w:rPr>
          <w:lang w:val="en-US"/>
        </w:rPr>
        <w:lastRenderedPageBreak/>
        <w:t>then be retrained on the poisoned set and evaluated on the clean test set. This will provide us with the opportunity to compare the performance of the system before and after the attacks and assess its vulnerability.</w:t>
      </w:r>
    </w:p>
    <w:p w14:paraId="51673745" w14:textId="29FA13A4" w:rsidR="00042A74" w:rsidRPr="00042A74" w:rsidRDefault="00042A74" w:rsidP="00491D99">
      <w:pPr>
        <w:jc w:val="both"/>
        <w:rPr>
          <w:lang w:val="en-US"/>
        </w:rPr>
      </w:pPr>
      <w:r w:rsidRPr="00042A74">
        <w:rPr>
          <w:lang w:val="en-US"/>
        </w:rPr>
        <w:t xml:space="preserve">Next, we will apply a defense mechanism to help the system identify which instances may have flipped labels. For this, we will propose a hybrid approach combining KNN neighborhood label disagreement and out-of-fold model-label disagreement. </w:t>
      </w:r>
      <w:r w:rsidR="00F25DCB">
        <w:rPr>
          <w:lang w:val="en-US"/>
        </w:rPr>
        <w:t>I</w:t>
      </w:r>
      <w:r w:rsidR="00491D99">
        <w:rPr>
          <w:lang w:val="en-US"/>
        </w:rPr>
        <w:t xml:space="preserve">f both defense mechanisms agree that the sample belongs to the </w:t>
      </w:r>
      <w:r w:rsidR="00F25DCB">
        <w:rPr>
          <w:lang w:val="en-US"/>
        </w:rPr>
        <w:t>opposite</w:t>
      </w:r>
      <w:r w:rsidR="00491D99">
        <w:rPr>
          <w:lang w:val="en-US"/>
        </w:rPr>
        <w:t xml:space="preserve"> class, then it will be relabeled </w:t>
      </w:r>
      <w:r w:rsidR="00F25DCB">
        <w:rPr>
          <w:lang w:val="en-US"/>
        </w:rPr>
        <w:t>accordingly</w:t>
      </w:r>
      <w:r w:rsidR="00491D99">
        <w:rPr>
          <w:lang w:val="en-US"/>
        </w:rPr>
        <w:t>.</w:t>
      </w:r>
      <w:r w:rsidR="00F25DCB">
        <w:rPr>
          <w:lang w:val="en-US"/>
        </w:rPr>
        <w:t xml:space="preserve"> For example, a suspicious benign sample might be relabeled as an attack, and a suspicious attack sample might be relabeled as benign.</w:t>
      </w:r>
      <w:r w:rsidR="00491D99">
        <w:rPr>
          <w:lang w:val="en-US"/>
        </w:rPr>
        <w:t xml:space="preserve"> Otherwise, if the two mechanisms disagree or generate a low confidence </w:t>
      </w:r>
      <w:r w:rsidR="00F25DCB">
        <w:rPr>
          <w:lang w:val="en-US"/>
        </w:rPr>
        <w:t>scor</w:t>
      </w:r>
      <w:r w:rsidR="00491D99">
        <w:rPr>
          <w:lang w:val="en-US"/>
        </w:rPr>
        <w:t>e, the sample will instead be removed from the training set. The</w:t>
      </w:r>
      <w:r w:rsidR="006B6A17">
        <w:rPr>
          <w:lang w:val="en-US"/>
        </w:rPr>
        <w:t xml:space="preserve"> </w:t>
      </w:r>
      <w:r w:rsidRPr="00042A74">
        <w:rPr>
          <w:lang w:val="en-US"/>
        </w:rPr>
        <w:t>models will</w:t>
      </w:r>
      <w:r w:rsidR="00F25DCB">
        <w:rPr>
          <w:lang w:val="en-US"/>
        </w:rPr>
        <w:t xml:space="preserve"> then</w:t>
      </w:r>
      <w:r w:rsidRPr="00042A74">
        <w:rPr>
          <w:lang w:val="en-US"/>
        </w:rPr>
        <w:t xml:space="preserve"> be trained again on the cleaned set.</w:t>
      </w:r>
    </w:p>
    <w:p w14:paraId="7FC03B56" w14:textId="0E4FA98B" w:rsidR="00042A74" w:rsidRDefault="00042A74" w:rsidP="00042A74">
      <w:pPr>
        <w:jc w:val="both"/>
        <w:rPr>
          <w:lang w:val="en-US"/>
        </w:rPr>
      </w:pPr>
      <w:r w:rsidRPr="00042A74">
        <w:rPr>
          <w:lang w:val="en-US"/>
        </w:rPr>
        <w:t>A final evaluation will then be conducted by measuring the accuracy, precision, recall, F1-score, false</w:t>
      </w:r>
      <w:r w:rsidR="002448EE">
        <w:rPr>
          <w:lang w:val="en-US"/>
        </w:rPr>
        <w:t>-</w:t>
      </w:r>
      <w:r w:rsidRPr="00042A74">
        <w:rPr>
          <w:lang w:val="en-US"/>
        </w:rPr>
        <w:t xml:space="preserve">positive rate, </w:t>
      </w:r>
      <w:r w:rsidR="002448EE">
        <w:rPr>
          <w:lang w:val="en-US"/>
        </w:rPr>
        <w:t>false-negative</w:t>
      </w:r>
      <w:r w:rsidRPr="00042A74">
        <w:rPr>
          <w:lang w:val="en-US"/>
        </w:rPr>
        <w:t xml:space="preserve"> rate, </w:t>
      </w:r>
      <w:r w:rsidR="002448EE">
        <w:rPr>
          <w:lang w:val="en-US"/>
        </w:rPr>
        <w:t xml:space="preserve">and </w:t>
      </w:r>
      <w:r w:rsidRPr="00042A74">
        <w:rPr>
          <w:lang w:val="en-US"/>
        </w:rPr>
        <w:t xml:space="preserve">clean-data retention, as well as how accurately poisoned samples were detected. Finally, we will extensively analyze where the </w:t>
      </w:r>
      <w:r w:rsidR="002448EE">
        <w:rPr>
          <w:lang w:val="en-US"/>
        </w:rPr>
        <w:t>defense</w:t>
      </w:r>
      <w:r w:rsidRPr="00042A74">
        <w:rPr>
          <w:lang w:val="en-US"/>
        </w:rPr>
        <w:t xml:space="preserve"> works and where it fails, its computational cost, and its limitations. A further comparison will be made with recent papers to compare the performance of the different approaches.</w:t>
      </w:r>
    </w:p>
    <w:p w14:paraId="5403F405" w14:textId="77777777" w:rsidR="00042A74" w:rsidRDefault="00042A74" w:rsidP="00042A74">
      <w:pPr>
        <w:jc w:val="both"/>
        <w:rPr>
          <w:lang w:val="en-US"/>
        </w:rPr>
      </w:pPr>
    </w:p>
    <w:p w14:paraId="61F9E87A" w14:textId="77430EBA" w:rsidR="00042A74" w:rsidRPr="00042A74" w:rsidRDefault="00C51F26" w:rsidP="00042A74">
      <w:pPr>
        <w:jc w:val="both"/>
        <w:rPr>
          <w:lang w:val="en-US"/>
        </w:rPr>
      </w:pPr>
      <w:r>
        <w:rPr>
          <w:lang w:val="en-US"/>
        </w:rPr>
        <w:pict w14:anchorId="518EFB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0.2pt;height:96pt">
            <v:imagedata r:id="rId5" o:title="Blank diagram (4)"/>
          </v:shape>
        </w:pict>
      </w:r>
    </w:p>
    <w:p w14:paraId="25E5FA41" w14:textId="511F5AB0" w:rsidR="00042A74" w:rsidRDefault="00042A74" w:rsidP="00042A74">
      <w:pPr>
        <w:pStyle w:val="IEEEFigureCaptionSingle-Line"/>
      </w:pPr>
      <w:r>
        <w:t>Fig. 1 Flowchart of the proposed methodology</w:t>
      </w:r>
    </w:p>
    <w:p w14:paraId="4D70C876" w14:textId="77777777" w:rsidR="00042A74" w:rsidRDefault="00042A74" w:rsidP="00042A74">
      <w:pPr>
        <w:pStyle w:val="IEEEHeading2"/>
        <w:numPr>
          <w:ilvl w:val="0"/>
          <w:numId w:val="0"/>
        </w:numPr>
      </w:pPr>
    </w:p>
    <w:p w14:paraId="4051D5A8" w14:textId="2D878F67" w:rsidR="00042A74" w:rsidRPr="00042A74" w:rsidRDefault="00042A74" w:rsidP="00042A74">
      <w:pPr>
        <w:pStyle w:val="IEEEHeading2"/>
      </w:pPr>
      <w:r>
        <w:t>Tools/Dataset/Technologies</w:t>
      </w:r>
    </w:p>
    <w:p w14:paraId="513C41F1" w14:textId="4C5019CD" w:rsidR="00042A74" w:rsidRPr="00042A74" w:rsidRDefault="00042A74" w:rsidP="00042A74">
      <w:pPr>
        <w:ind w:firstLine="289"/>
        <w:jc w:val="both"/>
        <w:rPr>
          <w:lang w:val="en-US"/>
        </w:rPr>
      </w:pPr>
      <w:r w:rsidRPr="00042A74">
        <w:rPr>
          <w:lang w:val="en-US"/>
        </w:rPr>
        <w:t xml:space="preserve">Several tools and libraries will be used in our project to support preprocessing, coding, implementation, experimentation, and evaluation. One of the main tools is Google Colab, where we will primarily code in Python. This platform is helpful because it’s simple and convenient for </w:t>
      </w:r>
      <w:r w:rsidRPr="00042A74">
        <w:rPr>
          <w:lang w:val="en-US"/>
        </w:rPr>
        <w:t>implementing ML-based NIDS. Other tools include NumPy and Pandas, which are Python libraries that help perform mathematical operations and handle and clean the dataset. Scikit-learn, a machine-learning library, will also be used to train ML classifiers such as Random Forest and Decision Tree, and to calculate evaluation metrics. Additionally, Matplotlib will be used to create visualizations, such as graphs and charts, when needed. To support effective collaboration, GitHub will be used to store the project online, enabling us to edit the code and documentation and track members’ contributions.</w:t>
      </w:r>
    </w:p>
    <w:p w14:paraId="0FBA9DC2" w14:textId="77777777" w:rsidR="00042A74" w:rsidRPr="00042A74" w:rsidRDefault="00042A74" w:rsidP="00042A74">
      <w:pPr>
        <w:jc w:val="both"/>
        <w:rPr>
          <w:lang w:val="en-US"/>
        </w:rPr>
      </w:pPr>
      <w:r w:rsidRPr="00042A74">
        <w:rPr>
          <w:lang w:val="en-US"/>
        </w:rPr>
        <w:t xml:space="preserve">UNSW-NB15, a benchmark dataset containing network traffic classified as benign and nine categories of malicious traffic, will be the core dataset for system training and testing. The dataset is particularly useful for NIDS and contains a large number of network traffic samples, including their features and labels classifying them as either benign traffic or different types of attacks. </w:t>
      </w:r>
    </w:p>
    <w:p w14:paraId="0542E1D7" w14:textId="0C2BAFBB" w:rsidR="00042A74" w:rsidRPr="00042A74" w:rsidRDefault="00042A74" w:rsidP="00042A74">
      <w:pPr>
        <w:jc w:val="both"/>
        <w:rPr>
          <w:lang w:val="en-US"/>
        </w:rPr>
      </w:pPr>
      <w:r w:rsidRPr="00042A74">
        <w:rPr>
          <w:lang w:val="en-US"/>
        </w:rPr>
        <w:t>As for the technologies our project will use, we will focus on machine learning and adversarial machine learning techniques for NIDS</w:t>
      </w:r>
      <w:r w:rsidR="00491D99">
        <w:rPr>
          <w:lang w:val="en-US"/>
        </w:rPr>
        <w:t xml:space="preserve">, </w:t>
      </w:r>
      <w:r w:rsidRPr="00042A74">
        <w:rPr>
          <w:lang w:val="en-US"/>
        </w:rPr>
        <w:t xml:space="preserve">and the simulation of </w:t>
      </w:r>
      <w:r w:rsidR="00F25DCB">
        <w:rPr>
          <w:lang w:val="en-US"/>
        </w:rPr>
        <w:t>bidirectional</w:t>
      </w:r>
      <w:r w:rsidRPr="00042A74">
        <w:rPr>
          <w:lang w:val="en-US"/>
        </w:rPr>
        <w:t xml:space="preserve"> label-flipping data poisoning attacks. </w:t>
      </w:r>
    </w:p>
    <w:p w14:paraId="2F60D425" w14:textId="77777777" w:rsidR="00B94516" w:rsidRDefault="00B94516" w:rsidP="00F20BBB">
      <w:pPr>
        <w:pStyle w:val="IEEEParagraph"/>
      </w:pPr>
    </w:p>
    <w:p w14:paraId="30B768C2" w14:textId="77777777" w:rsidR="00273D2C" w:rsidRDefault="00527D56" w:rsidP="00527D56">
      <w:pPr>
        <w:pStyle w:val="IEEETableCaption"/>
      </w:pPr>
      <w:r>
        <w:t xml:space="preserve">TABLE </w:t>
      </w:r>
      <w:r w:rsidR="00042F9F">
        <w:fldChar w:fldCharType="begin"/>
      </w:r>
      <w:r w:rsidR="00042F9F">
        <w:instrText xml:space="preserve"> SEQ TABLE \* ROMAN </w:instrText>
      </w:r>
      <w:r w:rsidR="00042F9F">
        <w:fldChar w:fldCharType="separate"/>
      </w:r>
      <w:r w:rsidR="00042F9F">
        <w:rPr>
          <w:noProof/>
        </w:rPr>
        <w:t>I</w:t>
      </w:r>
      <w:r w:rsidR="00042F9F">
        <w:rPr>
          <w:noProof/>
        </w:rPr>
        <w:fldChar w:fldCharType="end"/>
      </w:r>
      <w:r>
        <w:br w:type="textWrapping" w:clear="all"/>
      </w:r>
      <w:r w:rsidR="00273D2C">
        <w:t>Font Sizes for Papers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80"/>
        <w:gridCol w:w="1762"/>
        <w:gridCol w:w="1080"/>
        <w:gridCol w:w="1605"/>
      </w:tblGrid>
      <w:tr w:rsidR="00273D2C" w14:paraId="23445897" w14:textId="77777777" w:rsidTr="00D414FE">
        <w:trPr>
          <w:jc w:val="center"/>
        </w:trPr>
        <w:tc>
          <w:tcPr>
            <w:tcW w:w="580" w:type="dxa"/>
            <w:vMerge w:val="restart"/>
          </w:tcPr>
          <w:p w14:paraId="073AA1BD" w14:textId="77777777" w:rsidR="00273D2C" w:rsidRPr="00C012E1" w:rsidRDefault="00273D2C" w:rsidP="00D36B52">
            <w:pPr>
              <w:pStyle w:val="IEEETableHeaderLeft-Justified"/>
            </w:pPr>
            <w:r>
              <w:t>Font S</w:t>
            </w:r>
            <w:r w:rsidRPr="00C012E1">
              <w:t>ize</w:t>
            </w:r>
          </w:p>
        </w:tc>
        <w:tc>
          <w:tcPr>
            <w:tcW w:w="4447" w:type="dxa"/>
            <w:gridSpan w:val="3"/>
          </w:tcPr>
          <w:p w14:paraId="6F5B792B" w14:textId="77777777" w:rsidR="00273D2C" w:rsidRPr="00C012E1" w:rsidRDefault="00273D2C" w:rsidP="00D36B52">
            <w:pPr>
              <w:pStyle w:val="IEEETableHeaderCentered"/>
            </w:pPr>
            <w:r w:rsidRPr="00C012E1">
              <w:t>Appearance</w:t>
            </w:r>
            <w:r>
              <w:t xml:space="preserve"> (in Time New Roman or Times)</w:t>
            </w:r>
          </w:p>
        </w:tc>
      </w:tr>
      <w:tr w:rsidR="00273D2C" w14:paraId="0057497E" w14:textId="77777777" w:rsidTr="00D414FE">
        <w:trPr>
          <w:jc w:val="center"/>
        </w:trPr>
        <w:tc>
          <w:tcPr>
            <w:tcW w:w="580" w:type="dxa"/>
            <w:vMerge/>
          </w:tcPr>
          <w:p w14:paraId="100756F9" w14:textId="77777777" w:rsidR="00273D2C" w:rsidRPr="00D414FE" w:rsidRDefault="00273D2C" w:rsidP="00E47D0E">
            <w:pPr>
              <w:pStyle w:val="IEEETableCell"/>
              <w:rPr>
                <w:b/>
                <w:bCs/>
              </w:rPr>
            </w:pPr>
          </w:p>
        </w:tc>
        <w:tc>
          <w:tcPr>
            <w:tcW w:w="1762" w:type="dxa"/>
          </w:tcPr>
          <w:p w14:paraId="04A05831" w14:textId="77777777" w:rsidR="00273D2C" w:rsidRPr="00C012E1" w:rsidRDefault="00273D2C" w:rsidP="00D36B52">
            <w:pPr>
              <w:pStyle w:val="IEEETableHeaderLeft-Justified"/>
            </w:pPr>
            <w:r w:rsidRPr="00C012E1">
              <w:t>Regular</w:t>
            </w:r>
          </w:p>
        </w:tc>
        <w:tc>
          <w:tcPr>
            <w:tcW w:w="1080" w:type="dxa"/>
          </w:tcPr>
          <w:p w14:paraId="1663F917" w14:textId="77777777" w:rsidR="00273D2C" w:rsidRPr="00C012E1" w:rsidRDefault="00273D2C" w:rsidP="00D36B52">
            <w:pPr>
              <w:pStyle w:val="IEEETableHeaderLeft-Justified"/>
            </w:pPr>
            <w:r w:rsidRPr="00C012E1">
              <w:t>Bold</w:t>
            </w:r>
          </w:p>
        </w:tc>
        <w:tc>
          <w:tcPr>
            <w:tcW w:w="1605" w:type="dxa"/>
          </w:tcPr>
          <w:p w14:paraId="14579E0E" w14:textId="77777777" w:rsidR="00273D2C" w:rsidRPr="00C012E1" w:rsidRDefault="00273D2C" w:rsidP="00D36B52">
            <w:pPr>
              <w:pStyle w:val="IEEETableHeaderLeft-Justified"/>
            </w:pPr>
            <w:r w:rsidRPr="00C012E1">
              <w:t>Italic</w:t>
            </w:r>
          </w:p>
        </w:tc>
      </w:tr>
      <w:tr w:rsidR="00273D2C" w14:paraId="530FFC89" w14:textId="77777777" w:rsidTr="00D414FE">
        <w:trPr>
          <w:jc w:val="center"/>
        </w:trPr>
        <w:tc>
          <w:tcPr>
            <w:tcW w:w="580" w:type="dxa"/>
          </w:tcPr>
          <w:p w14:paraId="2FAB2869" w14:textId="77777777" w:rsidR="00273D2C" w:rsidRDefault="00273D2C" w:rsidP="00E47D0E">
            <w:pPr>
              <w:pStyle w:val="IEEETableCell"/>
            </w:pPr>
            <w:r>
              <w:t>8</w:t>
            </w:r>
          </w:p>
        </w:tc>
        <w:tc>
          <w:tcPr>
            <w:tcW w:w="1762" w:type="dxa"/>
          </w:tcPr>
          <w:p w14:paraId="543A227B" w14:textId="77777777" w:rsidR="00331F84" w:rsidRDefault="00273D2C" w:rsidP="00331F84">
            <w:pPr>
              <w:pStyle w:val="IEEETableCell"/>
            </w:pPr>
            <w:r>
              <w:t>table caption (in Small Caps),</w:t>
            </w:r>
          </w:p>
          <w:p w14:paraId="5549A4D8" w14:textId="77777777" w:rsidR="00331F84" w:rsidRDefault="00273D2C" w:rsidP="00331F84">
            <w:pPr>
              <w:pStyle w:val="IEEETableCell"/>
            </w:pPr>
            <w:r>
              <w:t>figure caption</w:t>
            </w:r>
            <w:r w:rsidR="00CD4F3F">
              <w:t>,</w:t>
            </w:r>
          </w:p>
          <w:p w14:paraId="0545DC59" w14:textId="77777777" w:rsidR="00CD4F3F" w:rsidRDefault="00CD4F3F" w:rsidP="00331F84">
            <w:pPr>
              <w:pStyle w:val="IEEETableCell"/>
            </w:pPr>
            <w:r>
              <w:t>reference</w:t>
            </w:r>
            <w:r w:rsidR="00311C49">
              <w:t xml:space="preserve"> item</w:t>
            </w:r>
          </w:p>
        </w:tc>
        <w:tc>
          <w:tcPr>
            <w:tcW w:w="1080" w:type="dxa"/>
          </w:tcPr>
          <w:p w14:paraId="6422E8B2" w14:textId="77777777" w:rsidR="00273D2C" w:rsidRDefault="00273D2C" w:rsidP="00E47D0E">
            <w:pPr>
              <w:pStyle w:val="IEEETableCell"/>
            </w:pPr>
          </w:p>
        </w:tc>
        <w:tc>
          <w:tcPr>
            <w:tcW w:w="1605" w:type="dxa"/>
          </w:tcPr>
          <w:p w14:paraId="2A45CE81" w14:textId="77777777" w:rsidR="00273D2C" w:rsidRDefault="00CD4F3F" w:rsidP="00E47D0E">
            <w:pPr>
              <w:pStyle w:val="IEEETableCell"/>
            </w:pPr>
            <w:r>
              <w:t xml:space="preserve">reference </w:t>
            </w:r>
            <w:r w:rsidR="00311C49">
              <w:t xml:space="preserve">item </w:t>
            </w:r>
            <w:r>
              <w:t>(partial)</w:t>
            </w:r>
          </w:p>
        </w:tc>
      </w:tr>
      <w:tr w:rsidR="00273D2C" w14:paraId="342A56E1" w14:textId="77777777" w:rsidTr="00D414FE">
        <w:trPr>
          <w:jc w:val="center"/>
        </w:trPr>
        <w:tc>
          <w:tcPr>
            <w:tcW w:w="580" w:type="dxa"/>
          </w:tcPr>
          <w:p w14:paraId="2757ED29" w14:textId="77777777" w:rsidR="00273D2C" w:rsidRDefault="00273D2C" w:rsidP="00E47D0E">
            <w:pPr>
              <w:pStyle w:val="IEEETableCell"/>
            </w:pPr>
            <w:r>
              <w:t>9</w:t>
            </w:r>
          </w:p>
        </w:tc>
        <w:tc>
          <w:tcPr>
            <w:tcW w:w="1762" w:type="dxa"/>
          </w:tcPr>
          <w:p w14:paraId="73320C1E" w14:textId="77777777" w:rsidR="00331F84" w:rsidRDefault="00273D2C" w:rsidP="00331F84">
            <w:pPr>
              <w:pStyle w:val="IEEETableCell"/>
            </w:pPr>
            <w:r>
              <w:t>author email address (in Courier)</w:t>
            </w:r>
            <w:r w:rsidR="00331F84">
              <w:t>,</w:t>
            </w:r>
          </w:p>
          <w:p w14:paraId="6207CD03" w14:textId="77777777" w:rsidR="00331F84" w:rsidRDefault="00331F84" w:rsidP="00331F84">
            <w:pPr>
              <w:pStyle w:val="IEEETableCell"/>
            </w:pPr>
            <w:r>
              <w:t>cell in a table</w:t>
            </w:r>
          </w:p>
        </w:tc>
        <w:tc>
          <w:tcPr>
            <w:tcW w:w="1080" w:type="dxa"/>
          </w:tcPr>
          <w:p w14:paraId="6050DE81" w14:textId="77777777" w:rsidR="00273D2C" w:rsidRDefault="00273D2C" w:rsidP="00E47D0E">
            <w:pPr>
              <w:pStyle w:val="IEEETableCell"/>
            </w:pPr>
            <w:r>
              <w:t>abstract body</w:t>
            </w:r>
          </w:p>
        </w:tc>
        <w:tc>
          <w:tcPr>
            <w:tcW w:w="1605" w:type="dxa"/>
          </w:tcPr>
          <w:p w14:paraId="1974E2B7" w14:textId="77777777" w:rsidR="00273D2C" w:rsidRDefault="00273D2C" w:rsidP="00E47D0E">
            <w:pPr>
              <w:pStyle w:val="IEEETableCell"/>
            </w:pPr>
            <w:r>
              <w:t>abstract heading (also in Bold)</w:t>
            </w:r>
          </w:p>
        </w:tc>
      </w:tr>
      <w:tr w:rsidR="00273D2C" w14:paraId="6AC24D56" w14:textId="77777777" w:rsidTr="00D414FE">
        <w:trPr>
          <w:jc w:val="center"/>
        </w:trPr>
        <w:tc>
          <w:tcPr>
            <w:tcW w:w="580" w:type="dxa"/>
          </w:tcPr>
          <w:p w14:paraId="5753CBC1" w14:textId="77777777" w:rsidR="00273D2C" w:rsidRDefault="00273D2C" w:rsidP="00E47D0E">
            <w:pPr>
              <w:pStyle w:val="IEEETableCell"/>
            </w:pPr>
            <w:r>
              <w:t>10</w:t>
            </w:r>
          </w:p>
        </w:tc>
        <w:tc>
          <w:tcPr>
            <w:tcW w:w="1762" w:type="dxa"/>
          </w:tcPr>
          <w:p w14:paraId="44BC9908" w14:textId="77777777" w:rsidR="00331F84" w:rsidRDefault="00273D2C" w:rsidP="00331F84">
            <w:pPr>
              <w:pStyle w:val="IEEETableCell"/>
            </w:pPr>
            <w:r>
              <w:t>level-1 heading (in Small Caps),</w:t>
            </w:r>
          </w:p>
          <w:p w14:paraId="1247B3A8" w14:textId="77777777" w:rsidR="00273D2C" w:rsidRDefault="00273D2C" w:rsidP="00331F84">
            <w:pPr>
              <w:pStyle w:val="IEEETableCell"/>
            </w:pPr>
            <w:r>
              <w:t>paragraph</w:t>
            </w:r>
          </w:p>
        </w:tc>
        <w:tc>
          <w:tcPr>
            <w:tcW w:w="1080" w:type="dxa"/>
          </w:tcPr>
          <w:p w14:paraId="63C3EF26" w14:textId="77777777" w:rsidR="00273D2C" w:rsidRDefault="00273D2C" w:rsidP="00E47D0E">
            <w:pPr>
              <w:pStyle w:val="IEEETableCell"/>
            </w:pPr>
          </w:p>
        </w:tc>
        <w:tc>
          <w:tcPr>
            <w:tcW w:w="1605" w:type="dxa"/>
          </w:tcPr>
          <w:p w14:paraId="6EBA6AB4" w14:textId="77777777" w:rsidR="00273D2C" w:rsidRDefault="00273D2C" w:rsidP="00E47D0E">
            <w:pPr>
              <w:pStyle w:val="IEEETableCell"/>
            </w:pPr>
            <w:r>
              <w:t>level-2 heading,</w:t>
            </w:r>
          </w:p>
          <w:p w14:paraId="009C7CCC" w14:textId="77777777" w:rsidR="00273D2C" w:rsidRDefault="00273D2C" w:rsidP="00E47D0E">
            <w:pPr>
              <w:pStyle w:val="IEEETableCell"/>
            </w:pPr>
            <w:r>
              <w:t>level-3 heading,</w:t>
            </w:r>
          </w:p>
          <w:p w14:paraId="0E6C45E6" w14:textId="77777777" w:rsidR="00273D2C" w:rsidRDefault="00273D2C" w:rsidP="00E47D0E">
            <w:pPr>
              <w:pStyle w:val="IEEETableCell"/>
            </w:pPr>
            <w:r>
              <w:t>author affiliation</w:t>
            </w:r>
          </w:p>
        </w:tc>
      </w:tr>
      <w:tr w:rsidR="00273D2C" w14:paraId="3C11130B" w14:textId="77777777" w:rsidTr="00D414FE">
        <w:trPr>
          <w:jc w:val="center"/>
        </w:trPr>
        <w:tc>
          <w:tcPr>
            <w:tcW w:w="580" w:type="dxa"/>
          </w:tcPr>
          <w:p w14:paraId="3B1DDE35" w14:textId="77777777" w:rsidR="00273D2C" w:rsidRDefault="00273D2C" w:rsidP="00E47D0E">
            <w:pPr>
              <w:pStyle w:val="IEEETableCell"/>
            </w:pPr>
            <w:r>
              <w:t>11</w:t>
            </w:r>
          </w:p>
        </w:tc>
        <w:tc>
          <w:tcPr>
            <w:tcW w:w="1762" w:type="dxa"/>
          </w:tcPr>
          <w:p w14:paraId="03E26017" w14:textId="77777777" w:rsidR="00273D2C" w:rsidRDefault="00273D2C" w:rsidP="00E47D0E">
            <w:pPr>
              <w:pStyle w:val="IEEETableCell"/>
            </w:pPr>
            <w:r>
              <w:t>author name</w:t>
            </w:r>
          </w:p>
        </w:tc>
        <w:tc>
          <w:tcPr>
            <w:tcW w:w="1080" w:type="dxa"/>
          </w:tcPr>
          <w:p w14:paraId="1E8CF4C0" w14:textId="77777777" w:rsidR="00273D2C" w:rsidRDefault="00273D2C" w:rsidP="00E47D0E">
            <w:pPr>
              <w:pStyle w:val="IEEETableCell"/>
            </w:pPr>
          </w:p>
        </w:tc>
        <w:tc>
          <w:tcPr>
            <w:tcW w:w="1605" w:type="dxa"/>
          </w:tcPr>
          <w:p w14:paraId="20962B8A" w14:textId="77777777" w:rsidR="00273D2C" w:rsidRDefault="00273D2C" w:rsidP="00E47D0E">
            <w:pPr>
              <w:pStyle w:val="IEEETableCell"/>
            </w:pPr>
          </w:p>
        </w:tc>
      </w:tr>
      <w:tr w:rsidR="00273D2C" w14:paraId="7C1ECA4C" w14:textId="77777777" w:rsidTr="00D414FE">
        <w:trPr>
          <w:jc w:val="center"/>
        </w:trPr>
        <w:tc>
          <w:tcPr>
            <w:tcW w:w="580" w:type="dxa"/>
          </w:tcPr>
          <w:p w14:paraId="76145287" w14:textId="77777777" w:rsidR="00273D2C" w:rsidRDefault="00273D2C" w:rsidP="00E47D0E">
            <w:pPr>
              <w:pStyle w:val="IEEETableCell"/>
            </w:pPr>
            <w:r>
              <w:t>24</w:t>
            </w:r>
          </w:p>
        </w:tc>
        <w:tc>
          <w:tcPr>
            <w:tcW w:w="1762" w:type="dxa"/>
          </w:tcPr>
          <w:p w14:paraId="04AEF477" w14:textId="77777777" w:rsidR="00273D2C" w:rsidRDefault="00273D2C" w:rsidP="00E47D0E">
            <w:pPr>
              <w:pStyle w:val="IEEETableCell"/>
            </w:pPr>
            <w:r>
              <w:t>title</w:t>
            </w:r>
          </w:p>
        </w:tc>
        <w:tc>
          <w:tcPr>
            <w:tcW w:w="1080" w:type="dxa"/>
          </w:tcPr>
          <w:p w14:paraId="46E5309A" w14:textId="77777777" w:rsidR="00273D2C" w:rsidRDefault="00273D2C" w:rsidP="00E47D0E">
            <w:pPr>
              <w:pStyle w:val="IEEETableCell"/>
            </w:pPr>
          </w:p>
        </w:tc>
        <w:tc>
          <w:tcPr>
            <w:tcW w:w="1605" w:type="dxa"/>
          </w:tcPr>
          <w:p w14:paraId="618666B3" w14:textId="77777777" w:rsidR="00273D2C" w:rsidRDefault="00273D2C" w:rsidP="00E47D0E">
            <w:pPr>
              <w:pStyle w:val="IEEETableCell"/>
            </w:pPr>
          </w:p>
        </w:tc>
      </w:tr>
    </w:tbl>
    <w:p w14:paraId="4443CDAE" w14:textId="77777777" w:rsidR="00B94516" w:rsidRDefault="00B94516" w:rsidP="00B94516">
      <w:pPr>
        <w:pStyle w:val="IEEEParagraph"/>
      </w:pPr>
    </w:p>
    <w:p w14:paraId="783660A7" w14:textId="77777777" w:rsidR="00B94516" w:rsidRDefault="00B94516" w:rsidP="00B94516">
      <w:pPr>
        <w:pStyle w:val="IEEEParagraph"/>
      </w:pPr>
      <w:r>
        <w:t>All title and author details must be in single-column format and must be centered.</w:t>
      </w:r>
    </w:p>
    <w:p w14:paraId="5926DBB4" w14:textId="77777777" w:rsidR="00B94516" w:rsidRDefault="00B94516" w:rsidP="00B94516">
      <w:pPr>
        <w:pStyle w:val="IEEEParagraph"/>
      </w:pPr>
      <w:r>
        <w:t xml:space="preserve">Every word in a title </w:t>
      </w:r>
      <w:r w:rsidRPr="005F6DC3">
        <w:t xml:space="preserve">must be </w:t>
      </w:r>
      <w:r>
        <w:t>capitalized except for short minor words such as “a”, “an”, “and”, “as”, “at”, “by”, “for”, “from”, “if”, “in”, “into”, “on”, “or”, “of”, “the”, “to”, “with”.</w:t>
      </w:r>
    </w:p>
    <w:p w14:paraId="42C77E1A" w14:textId="77777777" w:rsidR="0076604D" w:rsidRDefault="00654156" w:rsidP="0076604D">
      <w:pPr>
        <w:pStyle w:val="IEEEParagraph"/>
      </w:pPr>
      <w:r>
        <w:t>Author details must not show</w:t>
      </w:r>
      <w:r w:rsidR="0076604D">
        <w:t xml:space="preserve"> </w:t>
      </w:r>
      <w:r>
        <w:t xml:space="preserve">any </w:t>
      </w:r>
      <w:r w:rsidR="0076604D">
        <w:t xml:space="preserve">professional title (e.g. Managing Director), </w:t>
      </w:r>
      <w:r>
        <w:t xml:space="preserve">any </w:t>
      </w:r>
      <w:r w:rsidR="0076604D">
        <w:t xml:space="preserve">academic title </w:t>
      </w:r>
      <w:r w:rsidR="0076604D">
        <w:lastRenderedPageBreak/>
        <w:t>(e.g. Dr.)</w:t>
      </w:r>
      <w:r w:rsidR="009926BC">
        <w:t xml:space="preserve"> or</w:t>
      </w:r>
      <w:r w:rsidR="0076604D">
        <w:t xml:space="preserve"> </w:t>
      </w:r>
      <w:r>
        <w:t xml:space="preserve">any </w:t>
      </w:r>
      <w:r w:rsidR="00554186">
        <w:t xml:space="preserve">membership </w:t>
      </w:r>
      <w:r w:rsidR="0076604D">
        <w:t>of any professional organization</w:t>
      </w:r>
      <w:r w:rsidR="00554186">
        <w:t xml:space="preserve"> (e.g. Senior Member IEEE)</w:t>
      </w:r>
      <w:r w:rsidR="009926BC">
        <w:t>.</w:t>
      </w:r>
    </w:p>
    <w:p w14:paraId="7A3D92FE" w14:textId="77777777" w:rsidR="009926BC" w:rsidRDefault="009926BC" w:rsidP="0076604D">
      <w:pPr>
        <w:pStyle w:val="IEEEParagraph"/>
      </w:pPr>
      <w:r>
        <w:t xml:space="preserve">To avoid confusion, </w:t>
      </w:r>
      <w:r w:rsidR="001160D2">
        <w:t>the family name must be written as the last part of each author name (e.g. John A.K. Smith).</w:t>
      </w:r>
    </w:p>
    <w:p w14:paraId="273D1B87" w14:textId="77777777" w:rsidR="00B94516" w:rsidRDefault="00B94516" w:rsidP="00B94516">
      <w:pPr>
        <w:pStyle w:val="IEEEParagraph"/>
      </w:pPr>
      <w:r>
        <w:t xml:space="preserve">Each affiliation must include, at the very least, the name of the company and the name of the country where the author is based (e.g. Causal Productions Pty Ltd, </w:t>
      </w:r>
      <w:smartTag w:uri="urn:schemas-microsoft-com:office:smarttags" w:element="place">
        <w:smartTag w:uri="urn:schemas-microsoft-com:office:smarttags" w:element="country-region">
          <w:r>
            <w:t>Australia</w:t>
          </w:r>
        </w:smartTag>
      </w:smartTag>
      <w:r>
        <w:t>).</w:t>
      </w:r>
    </w:p>
    <w:p w14:paraId="6E55CA41" w14:textId="77777777" w:rsidR="00B94516" w:rsidRDefault="00B94516" w:rsidP="00B94516">
      <w:pPr>
        <w:pStyle w:val="IEEEParagraph"/>
      </w:pPr>
      <w:r>
        <w:t>Email address is compulsory for the corresponding author.</w:t>
      </w:r>
    </w:p>
    <w:p w14:paraId="6C3D1300" w14:textId="77777777" w:rsidR="00A45FCE" w:rsidRDefault="00A45FCE">
      <w:pPr>
        <w:pStyle w:val="IEEEHeading2"/>
        <w:numPr>
          <w:ilvl w:val="0"/>
          <w:numId w:val="4"/>
        </w:numPr>
      </w:pPr>
      <w:r w:rsidRPr="00B55D5E">
        <w:t xml:space="preserve">Section </w:t>
      </w:r>
      <w:r>
        <w:t>Headings</w:t>
      </w:r>
    </w:p>
    <w:p w14:paraId="7E0EDCB5" w14:textId="77777777" w:rsidR="00A45FCE" w:rsidRPr="005F6DC3" w:rsidRDefault="00A45FCE" w:rsidP="00C457CA">
      <w:pPr>
        <w:pStyle w:val="IEEEParagraph"/>
      </w:pPr>
      <w:r w:rsidRPr="005F6DC3">
        <w:t>No more than 3 levels of headings should be used.</w:t>
      </w:r>
      <w:r w:rsidR="003F3A61">
        <w:t xml:space="preserve">  </w:t>
      </w:r>
      <w:r w:rsidR="00901AE1">
        <w:t xml:space="preserve">All headings must be in 10pt </w:t>
      </w:r>
      <w:r>
        <w:t>font.</w:t>
      </w:r>
      <w:r w:rsidR="003F3A61">
        <w:t xml:space="preserve"> </w:t>
      </w:r>
      <w:r w:rsidR="00901AE1" w:rsidRPr="00901AE1">
        <w:t xml:space="preserve"> </w:t>
      </w:r>
      <w:r w:rsidR="00C457CA">
        <w:t xml:space="preserve">Every word in a </w:t>
      </w:r>
      <w:r w:rsidR="00901AE1">
        <w:t xml:space="preserve">heading </w:t>
      </w:r>
      <w:r w:rsidR="00901AE1" w:rsidRPr="005F6DC3">
        <w:t xml:space="preserve">must be </w:t>
      </w:r>
      <w:r w:rsidR="00901AE1">
        <w:t>capitalized</w:t>
      </w:r>
      <w:r w:rsidR="00C457CA">
        <w:t xml:space="preserve"> except for s</w:t>
      </w:r>
      <w:r w:rsidR="001F47D2">
        <w:t xml:space="preserve">hort minor words as listed in </w:t>
      </w:r>
      <w:r w:rsidR="00703430">
        <w:t>S</w:t>
      </w:r>
      <w:r w:rsidR="001F47D2">
        <w:t>ection III</w:t>
      </w:r>
      <w:r w:rsidR="006E7574">
        <w:t>-</w:t>
      </w:r>
      <w:r w:rsidR="001F47D2">
        <w:t>B</w:t>
      </w:r>
      <w:r w:rsidR="00703430">
        <w:t>.</w:t>
      </w:r>
    </w:p>
    <w:p w14:paraId="1B3619BF" w14:textId="77777777" w:rsidR="00A45FCE" w:rsidRPr="00AB18B7" w:rsidRDefault="00A45FCE" w:rsidP="0047429A">
      <w:pPr>
        <w:pStyle w:val="IEEEHeading3"/>
      </w:pPr>
      <w:r w:rsidRPr="00AB18B7">
        <w:t>Level-1 Heading</w:t>
      </w:r>
      <w:r w:rsidRPr="00AB18B7">
        <w:rPr>
          <w:i w:val="0"/>
          <w:iCs/>
        </w:rPr>
        <w:t xml:space="preserve">: </w:t>
      </w:r>
      <w:r w:rsidR="003F3A61">
        <w:rPr>
          <w:i w:val="0"/>
          <w:iCs/>
        </w:rPr>
        <w:t xml:space="preserve"> </w:t>
      </w:r>
      <w:r w:rsidRPr="00AB18B7">
        <w:rPr>
          <w:i w:val="0"/>
          <w:iCs/>
        </w:rPr>
        <w:t>A level-1 heading must be in Small Caps, centere</w:t>
      </w:r>
      <w:r w:rsidR="000002E1">
        <w:rPr>
          <w:i w:val="0"/>
          <w:iCs/>
        </w:rPr>
        <w:t>d and numbered using uppercase R</w:t>
      </w:r>
      <w:r w:rsidRPr="00AB18B7">
        <w:rPr>
          <w:i w:val="0"/>
          <w:iCs/>
        </w:rPr>
        <w:t>oman numerals</w:t>
      </w:r>
      <w:r w:rsidR="004E1BD8">
        <w:rPr>
          <w:i w:val="0"/>
          <w:iCs/>
        </w:rPr>
        <w:t xml:space="preserve">.  For example, see </w:t>
      </w:r>
      <w:r w:rsidR="00DB16E0">
        <w:rPr>
          <w:i w:val="0"/>
          <w:iCs/>
        </w:rPr>
        <w:t>heading</w:t>
      </w:r>
      <w:r w:rsidR="004E1BD8">
        <w:rPr>
          <w:i w:val="0"/>
          <w:iCs/>
        </w:rPr>
        <w:t xml:space="preserve"> “I</w:t>
      </w:r>
      <w:r w:rsidR="00EC265C">
        <w:rPr>
          <w:i w:val="0"/>
          <w:iCs/>
        </w:rPr>
        <w:t>II. Page Style</w:t>
      </w:r>
      <w:r w:rsidR="004E1BD8">
        <w:rPr>
          <w:i w:val="0"/>
          <w:iCs/>
        </w:rPr>
        <w:t>” of this document</w:t>
      </w:r>
      <w:r w:rsidRPr="00AB18B7">
        <w:rPr>
          <w:i w:val="0"/>
          <w:iCs/>
        </w:rPr>
        <w:t>.</w:t>
      </w:r>
      <w:r w:rsidR="0047429A">
        <w:rPr>
          <w:i w:val="0"/>
          <w:iCs/>
        </w:rPr>
        <w:t xml:space="preserve">  The two level-1 headings which must not be numbered are “Acknowledgment” and “References”.</w:t>
      </w:r>
    </w:p>
    <w:p w14:paraId="05866FF5" w14:textId="77777777" w:rsidR="00A45FCE" w:rsidRPr="00AB18B7" w:rsidRDefault="00A45FCE" w:rsidP="0047429A">
      <w:pPr>
        <w:pStyle w:val="IEEEHeading3"/>
      </w:pPr>
      <w:r w:rsidRPr="00AB18B7">
        <w:t>Level-2 Heading:</w:t>
      </w:r>
      <w:r w:rsidR="003F3A61" w:rsidRPr="003F3A61">
        <w:rPr>
          <w:i w:val="0"/>
          <w:iCs/>
        </w:rPr>
        <w:t xml:space="preserve"> </w:t>
      </w:r>
      <w:r w:rsidRPr="003F3A61">
        <w:rPr>
          <w:i w:val="0"/>
          <w:iCs/>
        </w:rPr>
        <w:t xml:space="preserve"> </w:t>
      </w:r>
      <w:r w:rsidRPr="00AB18B7">
        <w:rPr>
          <w:i w:val="0"/>
          <w:iCs/>
        </w:rPr>
        <w:t>A level-2 heading must be in Italic, left-justified and numbered using an uppercase alphabetic letter followed by a period.</w:t>
      </w:r>
      <w:r w:rsidR="004E1BD8">
        <w:rPr>
          <w:i w:val="0"/>
          <w:iCs/>
        </w:rPr>
        <w:t xml:space="preserve">  For example, see heading “C. Section Headings” above.</w:t>
      </w:r>
    </w:p>
    <w:p w14:paraId="1181CCFE" w14:textId="77777777" w:rsidR="00A45FCE" w:rsidRDefault="00A45FCE" w:rsidP="00A45FCE">
      <w:pPr>
        <w:pStyle w:val="IEEEHeading3"/>
        <w:rPr>
          <w:i w:val="0"/>
          <w:iCs/>
        </w:rPr>
      </w:pPr>
      <w:r w:rsidRPr="00AB18B7">
        <w:t>Level-3 Heading:</w:t>
      </w:r>
      <w:r w:rsidRPr="003F3A61">
        <w:rPr>
          <w:i w:val="0"/>
          <w:iCs/>
        </w:rPr>
        <w:t xml:space="preserve"> </w:t>
      </w:r>
      <w:r w:rsidR="003F3A61">
        <w:rPr>
          <w:i w:val="0"/>
          <w:iCs/>
        </w:rPr>
        <w:t xml:space="preserve"> </w:t>
      </w:r>
      <w:r w:rsidRPr="00AB18B7">
        <w:rPr>
          <w:i w:val="0"/>
          <w:iCs/>
        </w:rPr>
        <w:t>A level-3 heading must be</w:t>
      </w:r>
      <w:r w:rsidR="00425A6A">
        <w:rPr>
          <w:i w:val="0"/>
          <w:iCs/>
        </w:rPr>
        <w:t xml:space="preserve"> indented, </w:t>
      </w:r>
      <w:r w:rsidR="00C72414">
        <w:rPr>
          <w:i w:val="0"/>
          <w:iCs/>
        </w:rPr>
        <w:t xml:space="preserve"> in Italic</w:t>
      </w:r>
      <w:r w:rsidR="00425A6A">
        <w:rPr>
          <w:i w:val="0"/>
          <w:iCs/>
        </w:rPr>
        <w:t xml:space="preserve"> </w:t>
      </w:r>
      <w:r w:rsidRPr="00AB18B7">
        <w:rPr>
          <w:i w:val="0"/>
          <w:iCs/>
        </w:rPr>
        <w:t>an</w:t>
      </w:r>
      <w:r w:rsidR="00425A6A">
        <w:rPr>
          <w:i w:val="0"/>
          <w:iCs/>
        </w:rPr>
        <w:t>d numbered with an Arabic numeral</w:t>
      </w:r>
      <w:r w:rsidRPr="00AB18B7">
        <w:rPr>
          <w:i w:val="0"/>
          <w:iCs/>
        </w:rPr>
        <w:t xml:space="preserve"> followed by a right parenthesis. The level-3 heading must end with a colon.  The body of the level-3 section immediately follows the level-3 </w:t>
      </w:r>
      <w:r w:rsidR="004E1BD8">
        <w:rPr>
          <w:i w:val="0"/>
          <w:iCs/>
        </w:rPr>
        <w:t xml:space="preserve">heading in the same paragraph.  For example, this paragraph </w:t>
      </w:r>
      <w:r w:rsidR="00510E95">
        <w:rPr>
          <w:i w:val="0"/>
          <w:iCs/>
        </w:rPr>
        <w:t>begins with a level-3 heading.</w:t>
      </w:r>
    </w:p>
    <w:p w14:paraId="3BA1EE96" w14:textId="77777777" w:rsidR="00510E95" w:rsidRDefault="00510E95" w:rsidP="00510E95">
      <w:pPr>
        <w:pStyle w:val="IEEEHeading2"/>
        <w:rPr>
          <w:lang w:val="en-GB"/>
        </w:rPr>
      </w:pPr>
      <w:r>
        <w:rPr>
          <w:lang w:val="en-GB"/>
        </w:rPr>
        <w:t>Figures and Tables</w:t>
      </w:r>
    </w:p>
    <w:p w14:paraId="4E4AC0D1" w14:textId="77777777" w:rsidR="00510E95" w:rsidRDefault="000E3F84" w:rsidP="00510E95">
      <w:pPr>
        <w:pStyle w:val="IEEEParagraph"/>
        <w:rPr>
          <w:lang w:val="en-GB"/>
        </w:rPr>
      </w:pPr>
      <w:r>
        <w:rPr>
          <w:lang w:val="en-GB"/>
        </w:rPr>
        <w:t xml:space="preserve">Figures and tables must be centered in the column.  </w:t>
      </w:r>
      <w:r w:rsidR="00510E95" w:rsidRPr="001056DF">
        <w:rPr>
          <w:lang w:val="en-GB"/>
        </w:rPr>
        <w:t xml:space="preserve">Large figures and tables may span across both columns.  Any table or figure that takes up more than 1 column width must be positioned </w:t>
      </w:r>
      <w:r w:rsidR="00510E95">
        <w:rPr>
          <w:lang w:val="en-GB"/>
        </w:rPr>
        <w:t xml:space="preserve">either </w:t>
      </w:r>
      <w:r w:rsidR="00510E95" w:rsidRPr="001056DF">
        <w:rPr>
          <w:lang w:val="en-GB"/>
        </w:rPr>
        <w:t>at the to</w:t>
      </w:r>
      <w:r w:rsidR="00510E95">
        <w:rPr>
          <w:lang w:val="en-GB"/>
        </w:rPr>
        <w:t>p or at the bottom of the page.</w:t>
      </w:r>
    </w:p>
    <w:p w14:paraId="24D3E0FA" w14:textId="77777777" w:rsidR="00510E95" w:rsidRDefault="00510E95" w:rsidP="00510E95">
      <w:pPr>
        <w:pStyle w:val="IEEEParagraph"/>
        <w:rPr>
          <w:lang w:val="en-GB"/>
        </w:rPr>
      </w:pPr>
      <w:r w:rsidRPr="001056DF">
        <w:rPr>
          <w:lang w:val="en-GB"/>
        </w:rPr>
        <w:t xml:space="preserve">Graphics may be full </w:t>
      </w:r>
      <w:r>
        <w:rPr>
          <w:lang w:val="en-GB"/>
        </w:rPr>
        <w:t>color</w:t>
      </w:r>
      <w:r w:rsidRPr="001056DF">
        <w:rPr>
          <w:lang w:val="en-GB"/>
        </w:rPr>
        <w:t xml:space="preserve">. </w:t>
      </w:r>
      <w:r>
        <w:rPr>
          <w:lang w:val="en-GB"/>
        </w:rPr>
        <w:t xml:space="preserve"> </w:t>
      </w:r>
      <w:r w:rsidRPr="001056DF">
        <w:rPr>
          <w:lang w:val="en-GB"/>
        </w:rPr>
        <w:t xml:space="preserve">All </w:t>
      </w:r>
      <w:r>
        <w:rPr>
          <w:lang w:val="en-GB"/>
        </w:rPr>
        <w:t>color</w:t>
      </w:r>
      <w:r w:rsidRPr="001056DF">
        <w:rPr>
          <w:lang w:val="en-GB"/>
        </w:rPr>
        <w:t>s</w:t>
      </w:r>
      <w:r>
        <w:rPr>
          <w:lang w:val="en-GB"/>
        </w:rPr>
        <w:t xml:space="preserve"> will be retained on the CDROM.  </w:t>
      </w:r>
      <w:r w:rsidRPr="00C10D20">
        <w:rPr>
          <w:lang w:val="en-GB"/>
        </w:rPr>
        <w:t xml:space="preserve">Graphics must not use stipple </w:t>
      </w:r>
      <w:r>
        <w:rPr>
          <w:lang w:val="en-GB"/>
        </w:rPr>
        <w:t xml:space="preserve">fill patterns because they may </w:t>
      </w:r>
      <w:r w:rsidRPr="00C10D20">
        <w:rPr>
          <w:lang w:val="en-GB"/>
        </w:rPr>
        <w:t xml:space="preserve">not </w:t>
      </w:r>
      <w:r>
        <w:rPr>
          <w:lang w:val="en-GB"/>
        </w:rPr>
        <w:t>be re</w:t>
      </w:r>
      <w:r w:rsidRPr="00C10D20">
        <w:rPr>
          <w:lang w:val="en-GB"/>
        </w:rPr>
        <w:t>produce</w:t>
      </w:r>
      <w:r>
        <w:rPr>
          <w:lang w:val="en-GB"/>
        </w:rPr>
        <w:t>d</w:t>
      </w:r>
      <w:r w:rsidRPr="00C10D20">
        <w:rPr>
          <w:lang w:val="en-GB"/>
        </w:rPr>
        <w:t xml:space="preserve"> properly</w:t>
      </w:r>
      <w:r>
        <w:rPr>
          <w:lang w:val="en-GB"/>
        </w:rPr>
        <w:t xml:space="preserve">.  Please use only </w:t>
      </w:r>
      <w:r w:rsidRPr="00C10D20">
        <w:rPr>
          <w:i/>
          <w:iCs/>
          <w:lang w:val="en-GB"/>
        </w:rPr>
        <w:t>SOLID FILL</w:t>
      </w:r>
      <w:r>
        <w:rPr>
          <w:lang w:val="en-GB"/>
        </w:rPr>
        <w:t xml:space="preserve"> </w:t>
      </w:r>
      <w:r w:rsidRPr="00F43BD8">
        <w:t>colors</w:t>
      </w:r>
      <w:r>
        <w:rPr>
          <w:lang w:val="en-GB"/>
        </w:rPr>
        <w:t xml:space="preserve"> which contrast well both on screen and on a black-and-white hardcopy, as shown in Fig. 1.</w:t>
      </w:r>
    </w:p>
    <w:p w14:paraId="6F6AA27F" w14:textId="77777777" w:rsidR="002F72D0" w:rsidRDefault="002F72D0" w:rsidP="002F72D0">
      <w:pPr>
        <w:pStyle w:val="IEEEParagraph"/>
      </w:pPr>
    </w:p>
    <w:p w14:paraId="68E8CD82" w14:textId="77777777" w:rsidR="002F72D0" w:rsidRDefault="00000000" w:rsidP="00D36B52">
      <w:pPr>
        <w:pStyle w:val="IEEEFigure"/>
      </w:pPr>
      <w:r>
        <w:pict w14:anchorId="415D9A39">
          <v:shape id="_x0000_i1026" type="#_x0000_t75" style="width:194.4pt;height:141.6pt">
            <v:imagedata r:id="rId6" o:title="gv_figure_4"/>
          </v:shape>
        </w:pict>
      </w:r>
    </w:p>
    <w:p w14:paraId="4620D94E" w14:textId="77777777" w:rsidR="002F72D0" w:rsidRDefault="002F72D0" w:rsidP="00D36B52">
      <w:pPr>
        <w:pStyle w:val="IEEEFigureCaptionMulti-Lines"/>
      </w:pPr>
      <w:r>
        <w:t xml:space="preserve">Fig. </w:t>
      </w:r>
      <w:fldSimple w:instr=" SEQ Fig. \* ARABIC  \* MERGEFORMAT ">
        <w:r w:rsidR="00042F9F">
          <w:rPr>
            <w:noProof/>
          </w:rPr>
          <w:t>1</w:t>
        </w:r>
      </w:fldSimple>
      <w:r>
        <w:t xml:space="preserve">  A sample line graph using colors which contrast well both on screen and on a black-and-white hardcopy</w:t>
      </w:r>
    </w:p>
    <w:p w14:paraId="753D6072" w14:textId="77777777" w:rsidR="007B5A07" w:rsidRDefault="007B5A07" w:rsidP="007B5A07">
      <w:pPr>
        <w:pStyle w:val="IEEEParagraph"/>
      </w:pPr>
    </w:p>
    <w:p w14:paraId="4EA9F0D2" w14:textId="77777777" w:rsidR="008D1045" w:rsidRDefault="008D1045" w:rsidP="008D1045">
      <w:pPr>
        <w:pStyle w:val="IEEEParagraph"/>
        <w:rPr>
          <w:lang w:val="en-GB"/>
        </w:rPr>
      </w:pPr>
      <w:r>
        <w:rPr>
          <w:lang w:val="en-GB"/>
        </w:rPr>
        <w:t>Fig. 2 shows an example of a low-resolution image which would not be acceptable, whereas Fig. 3 shows an example of an image with adequate resolution.  Check that the resolution is adequate to reveal the important detail in the figure.</w:t>
      </w:r>
    </w:p>
    <w:p w14:paraId="6888886B" w14:textId="77777777" w:rsidR="008D1045" w:rsidRDefault="008D1045" w:rsidP="008D1045">
      <w:pPr>
        <w:pStyle w:val="IEEEParagraph"/>
        <w:rPr>
          <w:lang w:val="en-GB"/>
        </w:rPr>
      </w:pPr>
      <w:r>
        <w:rPr>
          <w:lang w:val="en-GB"/>
        </w:rPr>
        <w:t>Please check all figures in your paper both on screen and on a black-and-white hardcopy.  When you check your paper on a black-and-white hardcopy, please ensure that:</w:t>
      </w:r>
    </w:p>
    <w:p w14:paraId="58E672CC" w14:textId="77777777" w:rsidR="008D1045" w:rsidRPr="0084515F" w:rsidRDefault="008D1045">
      <w:pPr>
        <w:pStyle w:val="IEEEParagraph"/>
        <w:numPr>
          <w:ilvl w:val="0"/>
          <w:numId w:val="6"/>
        </w:numPr>
      </w:pPr>
      <w:r>
        <w:rPr>
          <w:lang w:val="en-GB"/>
        </w:rPr>
        <w:t>the colors used in each figure contrast well,</w:t>
      </w:r>
    </w:p>
    <w:p w14:paraId="1BCED49A" w14:textId="77777777" w:rsidR="008D1045" w:rsidRPr="0084515F" w:rsidRDefault="008D1045">
      <w:pPr>
        <w:pStyle w:val="IEEEParagraph"/>
        <w:numPr>
          <w:ilvl w:val="0"/>
          <w:numId w:val="6"/>
        </w:numPr>
      </w:pPr>
      <w:r>
        <w:rPr>
          <w:lang w:val="en-GB"/>
        </w:rPr>
        <w:t>the image used in each figure is clear,</w:t>
      </w:r>
    </w:p>
    <w:p w14:paraId="68BEDF46" w14:textId="77777777" w:rsidR="008D1045" w:rsidRPr="00054421" w:rsidRDefault="008D1045">
      <w:pPr>
        <w:pStyle w:val="IEEEParagraph"/>
        <w:numPr>
          <w:ilvl w:val="0"/>
          <w:numId w:val="6"/>
        </w:numPr>
      </w:pPr>
      <w:r>
        <w:rPr>
          <w:lang w:val="en-GB"/>
        </w:rPr>
        <w:t>all text labels in each figure are legible.</w:t>
      </w:r>
    </w:p>
    <w:p w14:paraId="7D887DA2" w14:textId="77777777" w:rsidR="002F72D0" w:rsidRDefault="002F72D0">
      <w:pPr>
        <w:pStyle w:val="IEEEHeading2"/>
        <w:numPr>
          <w:ilvl w:val="0"/>
          <w:numId w:val="1"/>
        </w:numPr>
      </w:pPr>
      <w:r>
        <w:t>Figure Captions</w:t>
      </w:r>
    </w:p>
    <w:p w14:paraId="78489DB1" w14:textId="77777777" w:rsidR="002F72D0" w:rsidRDefault="002F72D0" w:rsidP="007B5A07">
      <w:pPr>
        <w:pStyle w:val="IEEEParagraph"/>
        <w:rPr>
          <w:lang w:val="en-GB"/>
        </w:rPr>
      </w:pPr>
      <w:r>
        <w:rPr>
          <w:lang w:val="en-GB"/>
        </w:rPr>
        <w:t>Figures must</w:t>
      </w:r>
      <w:r w:rsidR="00425A6A">
        <w:rPr>
          <w:lang w:val="en-GB"/>
        </w:rPr>
        <w:t xml:space="preserve"> be numbered using Arabic numeral</w:t>
      </w:r>
      <w:r>
        <w:rPr>
          <w:lang w:val="en-GB"/>
        </w:rPr>
        <w:t>s.  Figure</w:t>
      </w:r>
      <w:r w:rsidRPr="005F0834">
        <w:rPr>
          <w:lang w:val="en-GB"/>
        </w:rPr>
        <w:t xml:space="preserve"> captions must be in 8 pt Regular </w:t>
      </w:r>
      <w:r>
        <w:rPr>
          <w:lang w:val="en-GB"/>
        </w:rPr>
        <w:t>font</w:t>
      </w:r>
      <w:r w:rsidRPr="005F0834">
        <w:rPr>
          <w:lang w:val="en-GB"/>
        </w:rPr>
        <w:t xml:space="preserve">. </w:t>
      </w:r>
      <w:r>
        <w:rPr>
          <w:lang w:val="en-GB"/>
        </w:rPr>
        <w:t xml:space="preserve"> Captions of a single line (e.g. Fig. 2) must be centered whereas multi-line captions must be justified (e.g. Fig. 1).  Captions with figure numbers must be placed after</w:t>
      </w:r>
      <w:r w:rsidRPr="005F0834">
        <w:rPr>
          <w:lang w:val="en-GB"/>
        </w:rPr>
        <w:t xml:space="preserve"> their associated </w:t>
      </w:r>
      <w:r>
        <w:rPr>
          <w:lang w:val="en-GB"/>
        </w:rPr>
        <w:t>figure</w:t>
      </w:r>
      <w:r w:rsidRPr="005F0834">
        <w:rPr>
          <w:lang w:val="en-GB"/>
        </w:rPr>
        <w:t>s, as shown</w:t>
      </w:r>
      <w:r>
        <w:rPr>
          <w:lang w:val="en-GB"/>
        </w:rPr>
        <w:t xml:space="preserve"> in</w:t>
      </w:r>
      <w:r w:rsidR="007B5A07">
        <w:rPr>
          <w:lang w:val="en-GB"/>
        </w:rPr>
        <w:t xml:space="preserve"> </w:t>
      </w:r>
      <w:r w:rsidR="003E3577">
        <w:rPr>
          <w:lang w:val="en-GB"/>
        </w:rPr>
        <w:t xml:space="preserve">    </w:t>
      </w:r>
      <w:r>
        <w:rPr>
          <w:lang w:val="en-GB"/>
        </w:rPr>
        <w:t>Fig. 1</w:t>
      </w:r>
      <w:r w:rsidRPr="005F0834">
        <w:rPr>
          <w:lang w:val="en-GB"/>
        </w:rPr>
        <w:t>.</w:t>
      </w:r>
    </w:p>
    <w:p w14:paraId="14D69A98" w14:textId="77777777" w:rsidR="00DD71E8" w:rsidRDefault="00C51F26" w:rsidP="00D36B52">
      <w:pPr>
        <w:pStyle w:val="IEEEFigure"/>
      </w:pPr>
      <w:r>
        <w:pict w14:anchorId="3EF24D2E">
          <v:shape id="_x0000_i1027" type="#_x0000_t75" style="width:128.4pt;height:183.6pt">
            <v:imagedata r:id="rId7" o:title=""/>
          </v:shape>
        </w:pict>
      </w:r>
    </w:p>
    <w:p w14:paraId="07F58679" w14:textId="77777777" w:rsidR="00EB0B63" w:rsidRDefault="001F47D2" w:rsidP="001F47D2">
      <w:pPr>
        <w:pStyle w:val="IEEEFigureCaptionSingle-Line"/>
      </w:pPr>
      <w:r>
        <w:lastRenderedPageBreak/>
        <w:t xml:space="preserve">Fig. </w:t>
      </w:r>
      <w:fldSimple w:instr=" SEQ Fig. \* ARABIC  \* MERGEFORMAT ">
        <w:r w:rsidR="00042F9F">
          <w:rPr>
            <w:noProof/>
          </w:rPr>
          <w:t>2</w:t>
        </w:r>
      </w:fldSimple>
      <w:r>
        <w:t xml:space="preserve">  </w:t>
      </w:r>
      <w:r w:rsidR="00510E95">
        <w:t>Example of an unacceptable low-resolution i</w:t>
      </w:r>
      <w:r w:rsidR="00EB0B63">
        <w:t>mage</w:t>
      </w:r>
    </w:p>
    <w:p w14:paraId="71348DD8" w14:textId="77777777" w:rsidR="007B5A07" w:rsidRPr="007B5A07" w:rsidRDefault="007B5A07" w:rsidP="007B5A07">
      <w:pPr>
        <w:pStyle w:val="IEEEParagraph"/>
      </w:pPr>
    </w:p>
    <w:p w14:paraId="08329906" w14:textId="77777777" w:rsidR="00EB0B63" w:rsidRDefault="00C51F26" w:rsidP="00D36B52">
      <w:pPr>
        <w:pStyle w:val="IEEEFigure"/>
      </w:pPr>
      <w:r>
        <w:pict w14:anchorId="7087BAB2">
          <v:shape id="_x0000_i1028" type="#_x0000_t75" style="width:120.6pt;height:176.4pt">
            <v:imagedata r:id="rId8" o:title="extracted_2_0002"/>
          </v:shape>
        </w:pict>
      </w:r>
    </w:p>
    <w:p w14:paraId="182530E8" w14:textId="77777777" w:rsidR="00EB0B63" w:rsidRDefault="001F47D2" w:rsidP="001F47D2">
      <w:pPr>
        <w:pStyle w:val="IEEEFigureCaptionSingle-Line"/>
      </w:pPr>
      <w:r>
        <w:t xml:space="preserve">Fig. </w:t>
      </w:r>
      <w:fldSimple w:instr=" SEQ Fig. \* ARABIC  \* MERGEFORMAT ">
        <w:r w:rsidR="00042F9F">
          <w:rPr>
            <w:noProof/>
          </w:rPr>
          <w:t>3</w:t>
        </w:r>
      </w:fldSimple>
      <w:r>
        <w:t xml:space="preserve">  </w:t>
      </w:r>
      <w:r w:rsidR="00510E95">
        <w:t>Example of an image with acceptable r</w:t>
      </w:r>
      <w:r w:rsidR="00EB0B63">
        <w:t>esolution</w:t>
      </w:r>
    </w:p>
    <w:p w14:paraId="65D1F0D2" w14:textId="77777777" w:rsidR="007B5A07" w:rsidRDefault="007B5A07" w:rsidP="007B5A07">
      <w:pPr>
        <w:pStyle w:val="IEEEParagraph"/>
      </w:pPr>
    </w:p>
    <w:p w14:paraId="42109F80" w14:textId="77777777" w:rsidR="007B5A07" w:rsidRDefault="007B5A07">
      <w:pPr>
        <w:pStyle w:val="IEEEHeading2"/>
        <w:numPr>
          <w:ilvl w:val="0"/>
          <w:numId w:val="1"/>
        </w:numPr>
      </w:pPr>
      <w:r>
        <w:t>Table Captions</w:t>
      </w:r>
    </w:p>
    <w:p w14:paraId="12C3CAF8" w14:textId="77777777" w:rsidR="007B5A07" w:rsidRPr="005F0834" w:rsidRDefault="007B5A07" w:rsidP="00624482">
      <w:pPr>
        <w:pStyle w:val="IEEEParagraph"/>
        <w:rPr>
          <w:lang w:val="en-GB"/>
        </w:rPr>
      </w:pPr>
      <w:r>
        <w:rPr>
          <w:lang w:val="en-GB"/>
        </w:rPr>
        <w:t xml:space="preserve">Tables must be numbered using uppercase Roman numerals.  </w:t>
      </w:r>
      <w:r w:rsidRPr="005F0834">
        <w:rPr>
          <w:lang w:val="en-GB"/>
        </w:rPr>
        <w:t>Table captions must be</w:t>
      </w:r>
      <w:r>
        <w:rPr>
          <w:lang w:val="en-GB"/>
        </w:rPr>
        <w:t xml:space="preserve"> centred and</w:t>
      </w:r>
      <w:r w:rsidRPr="005F0834">
        <w:rPr>
          <w:lang w:val="en-GB"/>
        </w:rPr>
        <w:t xml:space="preserve"> in 8 pt Regular font with Small Caps. </w:t>
      </w:r>
      <w:r>
        <w:rPr>
          <w:lang w:val="en-GB"/>
        </w:rPr>
        <w:t xml:space="preserve"> </w:t>
      </w:r>
      <w:r>
        <w:t xml:space="preserve">Every word in a table caption </w:t>
      </w:r>
      <w:r w:rsidRPr="005F6DC3">
        <w:t xml:space="preserve">must be </w:t>
      </w:r>
      <w:r>
        <w:t>capitalized except for short minor words as listed in Section III-B</w:t>
      </w:r>
      <w:r>
        <w:rPr>
          <w:lang w:val="en-GB"/>
        </w:rPr>
        <w:t xml:space="preserve">.  </w:t>
      </w:r>
      <w:r w:rsidRPr="005F0834">
        <w:rPr>
          <w:lang w:val="en-GB"/>
        </w:rPr>
        <w:t>Captions with table numbers must be placed before their associated tables, as shown in Table 1.</w:t>
      </w:r>
    </w:p>
    <w:p w14:paraId="7C4E3AEC" w14:textId="77777777" w:rsidR="00D377C8" w:rsidRDefault="00D377C8" w:rsidP="007B5A07">
      <w:pPr>
        <w:pStyle w:val="IEEEHeading2"/>
      </w:pPr>
      <w:r>
        <w:t>Page Numbers, Headers and Footers</w:t>
      </w:r>
    </w:p>
    <w:p w14:paraId="60375DBA" w14:textId="77777777" w:rsidR="00151B8E" w:rsidRDefault="00D377C8" w:rsidP="00151B8E">
      <w:pPr>
        <w:pStyle w:val="IEEEParagraph"/>
      </w:pPr>
      <w:r>
        <w:t>Page numbers, headers and footers must not be used.</w:t>
      </w:r>
    </w:p>
    <w:p w14:paraId="47139B49" w14:textId="77777777" w:rsidR="005B47D7" w:rsidRDefault="005B47D7" w:rsidP="00D377C8">
      <w:pPr>
        <w:pStyle w:val="IEEEHeading2"/>
      </w:pPr>
      <w:r>
        <w:t>Links and Bookmarks</w:t>
      </w:r>
    </w:p>
    <w:p w14:paraId="56391CE1" w14:textId="77777777" w:rsidR="005B47D7" w:rsidRDefault="005B47D7" w:rsidP="005B47D7">
      <w:pPr>
        <w:pStyle w:val="IEEEParagraph"/>
        <w:rPr>
          <w:lang w:val="en-US"/>
        </w:rPr>
      </w:pPr>
      <w:r w:rsidRPr="009A6C3F">
        <w:rPr>
          <w:lang w:val="en-US"/>
        </w:rPr>
        <w:t>All hypertext links and section bookmarks will be removed from papers during the processing of papers for publication.  If you need to refer to an Internet email add</w:t>
      </w:r>
      <w:r w:rsidR="00410A5D">
        <w:rPr>
          <w:lang w:val="en-US"/>
        </w:rPr>
        <w:t>ress</w:t>
      </w:r>
      <w:r w:rsidR="000B36A3">
        <w:rPr>
          <w:lang w:val="en-US"/>
        </w:rPr>
        <w:t xml:space="preserve"> or URL in your paper, you must </w:t>
      </w:r>
      <w:r w:rsidRPr="009A6C3F">
        <w:rPr>
          <w:lang w:val="en-US"/>
        </w:rPr>
        <w:t>type out the address or URL fully in Regular font.</w:t>
      </w:r>
    </w:p>
    <w:p w14:paraId="6815CA03" w14:textId="77777777" w:rsidR="002C559D" w:rsidRDefault="007B5A07" w:rsidP="002C559D">
      <w:pPr>
        <w:pStyle w:val="IEEEHeading2"/>
      </w:pPr>
      <w:r>
        <w:br w:type="column"/>
      </w:r>
      <w:r w:rsidR="002C559D" w:rsidRPr="002C559D">
        <w:t>References</w:t>
      </w:r>
    </w:p>
    <w:p w14:paraId="26F3D2F9" w14:textId="77777777" w:rsidR="00DB7E63" w:rsidRPr="00DB7E63" w:rsidRDefault="005B47D7" w:rsidP="00DB7E63">
      <w:pPr>
        <w:pStyle w:val="IEEEParagraph"/>
        <w:rPr>
          <w:lang w:val="en-US"/>
        </w:rPr>
      </w:pPr>
      <w:r>
        <w:rPr>
          <w:lang w:val="en-GB"/>
        </w:rPr>
        <w:t>The heading of the R</w:t>
      </w:r>
      <w:r w:rsidR="002C1A7F">
        <w:rPr>
          <w:lang w:val="en-GB"/>
        </w:rPr>
        <w:t>eferences</w:t>
      </w:r>
      <w:r>
        <w:rPr>
          <w:lang w:val="en-GB"/>
        </w:rPr>
        <w:t xml:space="preserve"> section must not be numbered.</w:t>
      </w:r>
      <w:r w:rsidR="00DB7E63">
        <w:rPr>
          <w:lang w:val="en-GB"/>
        </w:rPr>
        <w:t xml:space="preserve">  All reference items must be in 8 pt font.  Please use Regular and Italic styles to distinguish different fields as shown in the References section.</w:t>
      </w:r>
      <w:r w:rsidR="00DB7E63">
        <w:rPr>
          <w:lang w:val="en-US"/>
        </w:rPr>
        <w:t xml:space="preserve">  </w:t>
      </w:r>
      <w:r w:rsidR="00DB7E63">
        <w:rPr>
          <w:lang w:val="en-GB"/>
        </w:rPr>
        <w:t>Number the reference items</w:t>
      </w:r>
      <w:r w:rsidR="002C559D" w:rsidRPr="000C013C">
        <w:rPr>
          <w:lang w:val="en-GB"/>
        </w:rPr>
        <w:t xml:space="preserve"> consecutively in square brackets (e.g. [1]).</w:t>
      </w:r>
      <w:r w:rsidR="002C559D">
        <w:rPr>
          <w:lang w:val="en-GB"/>
        </w:rPr>
        <w:t xml:space="preserve">  </w:t>
      </w:r>
    </w:p>
    <w:p w14:paraId="72F153ED" w14:textId="77777777" w:rsidR="002C559D" w:rsidRDefault="00DB7E63" w:rsidP="00DB7E63">
      <w:pPr>
        <w:pStyle w:val="IEEEParagraph"/>
        <w:rPr>
          <w:lang w:val="en-GB"/>
        </w:rPr>
      </w:pPr>
      <w:r>
        <w:rPr>
          <w:lang w:val="en-GB"/>
        </w:rPr>
        <w:t>When referring to a reference item</w:t>
      </w:r>
      <w:r w:rsidR="002C559D">
        <w:rPr>
          <w:lang w:val="en-GB"/>
        </w:rPr>
        <w:t xml:space="preserve">, </w:t>
      </w:r>
      <w:r>
        <w:rPr>
          <w:lang w:val="en-GB"/>
        </w:rPr>
        <w:t>please simply use</w:t>
      </w:r>
      <w:r w:rsidR="002C559D">
        <w:rPr>
          <w:lang w:val="en-GB"/>
        </w:rPr>
        <w:t xml:space="preserve"> the reference number, as in [</w:t>
      </w:r>
      <w:r w:rsidR="00414909">
        <w:rPr>
          <w:lang w:val="en-GB"/>
        </w:rPr>
        <w:t>2</w:t>
      </w:r>
      <w:r w:rsidR="002C559D">
        <w:rPr>
          <w:lang w:val="en-GB"/>
        </w:rPr>
        <w:t xml:space="preserve">].  Do not use “Ref. [3]” or “Reference [3]” except at the </w:t>
      </w:r>
      <w:r>
        <w:rPr>
          <w:lang w:val="en-GB"/>
        </w:rPr>
        <w:t>beginning of a sentence, e.g.</w:t>
      </w:r>
      <w:r w:rsidR="002C559D">
        <w:rPr>
          <w:lang w:val="en-GB"/>
        </w:rPr>
        <w:t xml:space="preserve">  “Reference [3] shows …”.  Multiple references are each numbered with separate brackets (e.g. [2], [3], [4]–[6]).</w:t>
      </w:r>
    </w:p>
    <w:p w14:paraId="2F2D9127" w14:textId="77777777" w:rsidR="005B47D7" w:rsidRDefault="00DB7E63" w:rsidP="002C1A7F">
      <w:pPr>
        <w:pStyle w:val="IEEEParagraph"/>
        <w:rPr>
          <w:lang w:val="en-GB"/>
        </w:rPr>
      </w:pPr>
      <w:r>
        <w:rPr>
          <w:lang w:val="en-GB"/>
        </w:rPr>
        <w:t>Examples of reference items</w:t>
      </w:r>
      <w:r w:rsidR="005B47D7">
        <w:rPr>
          <w:lang w:val="en-GB"/>
        </w:rPr>
        <w:t xml:space="preserve"> of different categories shown in the References section include:</w:t>
      </w:r>
    </w:p>
    <w:p w14:paraId="022647EF" w14:textId="77777777" w:rsidR="005B47D7" w:rsidRDefault="005B47D7">
      <w:pPr>
        <w:pStyle w:val="IEEEParagraph"/>
        <w:numPr>
          <w:ilvl w:val="0"/>
          <w:numId w:val="6"/>
        </w:numPr>
      </w:pPr>
      <w:r>
        <w:rPr>
          <w:lang w:val="en-GB"/>
        </w:rPr>
        <w:t>example of a book in [1]</w:t>
      </w:r>
    </w:p>
    <w:p w14:paraId="11A2493C" w14:textId="77777777" w:rsidR="005B47D7" w:rsidRDefault="005B47D7">
      <w:pPr>
        <w:pStyle w:val="IEEEParagraph"/>
        <w:numPr>
          <w:ilvl w:val="0"/>
          <w:numId w:val="6"/>
        </w:numPr>
      </w:pPr>
      <w:r w:rsidRPr="005B47D7">
        <w:t>example of a book in a series</w:t>
      </w:r>
      <w:r>
        <w:t xml:space="preserve"> in [2]</w:t>
      </w:r>
    </w:p>
    <w:p w14:paraId="19E03920" w14:textId="77777777" w:rsidR="005B47D7" w:rsidRDefault="005B47D7">
      <w:pPr>
        <w:pStyle w:val="IEEEParagraph"/>
        <w:numPr>
          <w:ilvl w:val="0"/>
          <w:numId w:val="6"/>
        </w:numPr>
      </w:pPr>
      <w:r>
        <w:t>example of a journal article in [3]</w:t>
      </w:r>
    </w:p>
    <w:p w14:paraId="49FC3F31" w14:textId="77777777" w:rsidR="005B47D7" w:rsidRDefault="005B47D7">
      <w:pPr>
        <w:pStyle w:val="IEEEParagraph"/>
        <w:numPr>
          <w:ilvl w:val="0"/>
          <w:numId w:val="6"/>
        </w:numPr>
      </w:pPr>
      <w:r>
        <w:t>example of a conference paper in [4]</w:t>
      </w:r>
    </w:p>
    <w:p w14:paraId="6D1107F9" w14:textId="77777777" w:rsidR="006D1C2A" w:rsidRDefault="006D1C2A">
      <w:pPr>
        <w:pStyle w:val="IEEEParagraph"/>
        <w:numPr>
          <w:ilvl w:val="0"/>
          <w:numId w:val="6"/>
        </w:numPr>
      </w:pPr>
      <w:r>
        <w:t>example of a patent in [5]</w:t>
      </w:r>
    </w:p>
    <w:p w14:paraId="416BDF1B" w14:textId="77777777" w:rsidR="006D1C2A" w:rsidRDefault="006D1C2A">
      <w:pPr>
        <w:pStyle w:val="IEEEParagraph"/>
        <w:numPr>
          <w:ilvl w:val="0"/>
          <w:numId w:val="6"/>
        </w:numPr>
      </w:pPr>
      <w:r>
        <w:t>example of a website in [6]</w:t>
      </w:r>
    </w:p>
    <w:p w14:paraId="625AEE31" w14:textId="77777777" w:rsidR="006D1C2A" w:rsidRDefault="006D1C2A">
      <w:pPr>
        <w:pStyle w:val="IEEEParagraph"/>
        <w:numPr>
          <w:ilvl w:val="0"/>
          <w:numId w:val="6"/>
        </w:numPr>
      </w:pPr>
      <w:r>
        <w:t>example of a web page in [7]</w:t>
      </w:r>
    </w:p>
    <w:p w14:paraId="5570B068" w14:textId="77777777" w:rsidR="006D1C2A" w:rsidRDefault="006D1C2A">
      <w:pPr>
        <w:pStyle w:val="IEEEParagraph"/>
        <w:numPr>
          <w:ilvl w:val="0"/>
          <w:numId w:val="6"/>
        </w:numPr>
      </w:pPr>
      <w:r>
        <w:t>example of a databook as a manual in [8]</w:t>
      </w:r>
    </w:p>
    <w:p w14:paraId="5F2C611E" w14:textId="77777777" w:rsidR="006D1C2A" w:rsidRDefault="006D1C2A">
      <w:pPr>
        <w:pStyle w:val="IEEEParagraph"/>
        <w:numPr>
          <w:ilvl w:val="0"/>
          <w:numId w:val="6"/>
        </w:numPr>
      </w:pPr>
      <w:r>
        <w:t>example of a datasheet in [9]</w:t>
      </w:r>
    </w:p>
    <w:p w14:paraId="4496A5D9" w14:textId="77777777" w:rsidR="006D1C2A" w:rsidRDefault="006D1C2A">
      <w:pPr>
        <w:pStyle w:val="IEEEParagraph"/>
        <w:numPr>
          <w:ilvl w:val="0"/>
          <w:numId w:val="6"/>
        </w:numPr>
      </w:pPr>
      <w:r>
        <w:t>example of a master’s thesis in [10]</w:t>
      </w:r>
    </w:p>
    <w:p w14:paraId="62654986" w14:textId="77777777" w:rsidR="006D1C2A" w:rsidRDefault="006D1C2A">
      <w:pPr>
        <w:pStyle w:val="IEEEParagraph"/>
        <w:numPr>
          <w:ilvl w:val="0"/>
          <w:numId w:val="6"/>
        </w:numPr>
      </w:pPr>
      <w:r>
        <w:t>example of a technical report in [11]</w:t>
      </w:r>
    </w:p>
    <w:p w14:paraId="62C295C2" w14:textId="77777777" w:rsidR="005B47D7" w:rsidRPr="006D1C2A" w:rsidRDefault="006D1C2A">
      <w:pPr>
        <w:pStyle w:val="IEEEParagraph"/>
        <w:numPr>
          <w:ilvl w:val="0"/>
          <w:numId w:val="6"/>
        </w:numPr>
      </w:pPr>
      <w:r>
        <w:t>example of a standard in [12]</w:t>
      </w:r>
    </w:p>
    <w:p w14:paraId="5DF82BE3" w14:textId="77777777" w:rsidR="0062033E" w:rsidRDefault="0062033E" w:rsidP="0062033E">
      <w:pPr>
        <w:pStyle w:val="IEEEHeading1"/>
        <w:rPr>
          <w:lang w:val="en-US"/>
        </w:rPr>
      </w:pPr>
      <w:r>
        <w:rPr>
          <w:lang w:val="en-US"/>
        </w:rPr>
        <w:t>Conclusions</w:t>
      </w:r>
    </w:p>
    <w:p w14:paraId="14B87956" w14:textId="77777777" w:rsidR="0062033E" w:rsidRDefault="00E65018" w:rsidP="00502E89">
      <w:pPr>
        <w:pStyle w:val="IEEEParagraph"/>
        <w:rPr>
          <w:lang w:val="en-US"/>
        </w:rPr>
      </w:pPr>
      <w:r>
        <w:rPr>
          <w:lang w:val="en-US"/>
        </w:rPr>
        <w:t xml:space="preserve">The </w:t>
      </w:r>
      <w:r w:rsidR="00ED61CB">
        <w:rPr>
          <w:lang w:val="en-US"/>
        </w:rPr>
        <w:t>version of this template is V</w:t>
      </w:r>
      <w:r w:rsidR="009926BC">
        <w:rPr>
          <w:lang w:val="en-US"/>
        </w:rPr>
        <w:t>2</w:t>
      </w:r>
      <w:r>
        <w:rPr>
          <w:lang w:val="en-US"/>
        </w:rPr>
        <w:t xml:space="preserve">.  </w:t>
      </w:r>
      <w:r w:rsidR="0062033E">
        <w:rPr>
          <w:lang w:val="en-US"/>
        </w:rPr>
        <w:t>Most of the formatting instructions in this document have been compiled by Causal Productions from the IEEE La</w:t>
      </w:r>
      <w:r w:rsidR="00A75671">
        <w:rPr>
          <w:lang w:val="en-US"/>
        </w:rPr>
        <w:t>T</w:t>
      </w:r>
      <w:r w:rsidR="0062033E">
        <w:rPr>
          <w:lang w:val="en-US"/>
        </w:rPr>
        <w:t>e</w:t>
      </w:r>
      <w:r w:rsidR="00A75671">
        <w:rPr>
          <w:lang w:val="en-US"/>
        </w:rPr>
        <w:t>X</w:t>
      </w:r>
      <w:r w:rsidR="0062033E">
        <w:rPr>
          <w:lang w:val="en-US"/>
        </w:rPr>
        <w:t xml:space="preserve"> style files.  </w:t>
      </w:r>
      <w:r w:rsidR="002C1A7F">
        <w:rPr>
          <w:lang w:val="en-US"/>
        </w:rPr>
        <w:t>Causal Productions offers</w:t>
      </w:r>
      <w:r w:rsidR="00C65F3F">
        <w:rPr>
          <w:lang w:val="en-US"/>
        </w:rPr>
        <w:t xml:space="preserve"> </w:t>
      </w:r>
      <w:r w:rsidR="00ED61CB">
        <w:rPr>
          <w:lang w:val="en-US"/>
        </w:rPr>
        <w:t xml:space="preserve">both </w:t>
      </w:r>
      <w:r w:rsidR="00C65F3F">
        <w:rPr>
          <w:lang w:val="en-US"/>
        </w:rPr>
        <w:t>A4</w:t>
      </w:r>
      <w:r w:rsidR="002C1A7F">
        <w:rPr>
          <w:lang w:val="en-US"/>
        </w:rPr>
        <w:t xml:space="preserve"> template</w:t>
      </w:r>
      <w:r w:rsidR="00C65F3F">
        <w:rPr>
          <w:lang w:val="en-US"/>
        </w:rPr>
        <w:t>s</w:t>
      </w:r>
      <w:r w:rsidR="00ED61CB">
        <w:rPr>
          <w:lang w:val="en-US"/>
        </w:rPr>
        <w:t xml:space="preserve"> and US Letter templates</w:t>
      </w:r>
      <w:r w:rsidR="002C1A7F">
        <w:rPr>
          <w:lang w:val="en-US"/>
        </w:rPr>
        <w:t xml:space="preserve"> </w:t>
      </w:r>
      <w:r w:rsidR="00A75671">
        <w:rPr>
          <w:lang w:val="en-US"/>
        </w:rPr>
        <w:t>for</w:t>
      </w:r>
      <w:r w:rsidR="002C1A7F">
        <w:rPr>
          <w:lang w:val="en-US"/>
        </w:rPr>
        <w:t xml:space="preserve"> La</w:t>
      </w:r>
      <w:r w:rsidR="00A75671">
        <w:rPr>
          <w:lang w:val="en-US"/>
        </w:rPr>
        <w:t>T</w:t>
      </w:r>
      <w:r w:rsidR="002C1A7F">
        <w:rPr>
          <w:lang w:val="en-US"/>
        </w:rPr>
        <w:t>e</w:t>
      </w:r>
      <w:r w:rsidR="00A75671">
        <w:rPr>
          <w:lang w:val="en-US"/>
        </w:rPr>
        <w:t>X</w:t>
      </w:r>
      <w:r w:rsidR="00C65F3F">
        <w:rPr>
          <w:lang w:val="en-US"/>
        </w:rPr>
        <w:t xml:space="preserve"> and Micr</w:t>
      </w:r>
      <w:r w:rsidR="00ED61CB">
        <w:rPr>
          <w:lang w:val="en-US"/>
        </w:rPr>
        <w:t>osoft Word</w:t>
      </w:r>
      <w:r w:rsidR="006B47CA">
        <w:rPr>
          <w:lang w:val="en-US"/>
        </w:rPr>
        <w:t>.</w:t>
      </w:r>
      <w:r w:rsidR="00502E89">
        <w:rPr>
          <w:lang w:val="en-US"/>
        </w:rPr>
        <w:t xml:space="preserve">  </w:t>
      </w:r>
      <w:r w:rsidR="00502E89" w:rsidRPr="00502E89">
        <w:rPr>
          <w:lang w:val="en-US"/>
        </w:rPr>
        <w:t>The LaTeX templates depend on the official</w:t>
      </w:r>
      <w:r w:rsidR="00502E89">
        <w:rPr>
          <w:lang w:val="en-US"/>
        </w:rPr>
        <w:t xml:space="preserve"> </w:t>
      </w:r>
      <w:r w:rsidR="00502E89" w:rsidRPr="00502E89">
        <w:rPr>
          <w:lang w:val="en-US"/>
        </w:rPr>
        <w:t>IEEEtran.cls and IEEEtran.bst</w:t>
      </w:r>
      <w:r w:rsidR="00502E89">
        <w:rPr>
          <w:lang w:val="en-US"/>
        </w:rPr>
        <w:t xml:space="preserve"> files</w:t>
      </w:r>
      <w:r w:rsidR="00502E89" w:rsidRPr="00502E89">
        <w:rPr>
          <w:lang w:val="en-US"/>
        </w:rPr>
        <w:t>, whereas the Microsoft</w:t>
      </w:r>
      <w:r w:rsidR="00502E89">
        <w:rPr>
          <w:lang w:val="en-US"/>
        </w:rPr>
        <w:t xml:space="preserve"> </w:t>
      </w:r>
      <w:r w:rsidR="00ED61CB">
        <w:rPr>
          <w:lang w:val="en-US"/>
        </w:rPr>
        <w:t>Word</w:t>
      </w:r>
      <w:r w:rsidR="00502E89" w:rsidRPr="00502E89">
        <w:rPr>
          <w:lang w:val="en-US"/>
        </w:rPr>
        <w:t xml:space="preserve"> templates</w:t>
      </w:r>
      <w:r w:rsidR="00502E89">
        <w:rPr>
          <w:lang w:val="en-US"/>
        </w:rPr>
        <w:t xml:space="preserve"> </w:t>
      </w:r>
      <w:r w:rsidR="00502E89" w:rsidRPr="00502E89">
        <w:rPr>
          <w:lang w:val="en-US"/>
        </w:rPr>
        <w:t xml:space="preserve">are self-contained.  </w:t>
      </w:r>
      <w:r w:rsidR="0062033E">
        <w:rPr>
          <w:lang w:val="en-US"/>
        </w:rPr>
        <w:t xml:space="preserve">Causal Productions has </w:t>
      </w:r>
      <w:r w:rsidR="005D7B9E">
        <w:rPr>
          <w:lang w:val="en-US"/>
        </w:rPr>
        <w:t xml:space="preserve">used </w:t>
      </w:r>
      <w:r w:rsidR="0062033E">
        <w:rPr>
          <w:lang w:val="en-US"/>
        </w:rPr>
        <w:t>its best ef</w:t>
      </w:r>
      <w:r w:rsidR="00A75671">
        <w:rPr>
          <w:lang w:val="en-US"/>
        </w:rPr>
        <w:t>forts to ensure that the</w:t>
      </w:r>
      <w:r w:rsidR="0062033E">
        <w:rPr>
          <w:lang w:val="en-US"/>
        </w:rPr>
        <w:t xml:space="preserve"> templates</w:t>
      </w:r>
      <w:r w:rsidR="00502E89">
        <w:rPr>
          <w:lang w:val="en-US"/>
        </w:rPr>
        <w:t xml:space="preserve"> have the same appearance</w:t>
      </w:r>
      <w:r w:rsidR="0062033E">
        <w:rPr>
          <w:lang w:val="en-US"/>
        </w:rPr>
        <w:t>.</w:t>
      </w:r>
    </w:p>
    <w:p w14:paraId="041391DE" w14:textId="77777777" w:rsidR="0062033E" w:rsidRDefault="0062033E" w:rsidP="0062033E">
      <w:pPr>
        <w:pStyle w:val="IEEEParagraph"/>
        <w:rPr>
          <w:lang w:val="en-US"/>
        </w:rPr>
      </w:pPr>
      <w:r>
        <w:rPr>
          <w:lang w:val="en-US"/>
        </w:rPr>
        <w:t>Causal Productions permits the distribution and revision of these templates on the condition that Causal Productions is credited in the revised template as follows:  “original version of this template was provided by courtesy of Causal Productions (www.causalproductions.com)”</w:t>
      </w:r>
      <w:r w:rsidR="00FA3899">
        <w:rPr>
          <w:lang w:val="en-US"/>
        </w:rPr>
        <w:t>.</w:t>
      </w:r>
    </w:p>
    <w:p w14:paraId="7DCF98E8" w14:textId="77777777" w:rsidR="003950A4" w:rsidRDefault="00CA4CE3" w:rsidP="000C013C">
      <w:pPr>
        <w:pStyle w:val="IEEEHeading1"/>
        <w:numPr>
          <w:ilvl w:val="0"/>
          <w:numId w:val="0"/>
        </w:numPr>
        <w:rPr>
          <w:lang w:val="en-US"/>
        </w:rPr>
      </w:pPr>
      <w:r>
        <w:rPr>
          <w:lang w:val="en-US"/>
        </w:rPr>
        <w:t>Acknowledgment</w:t>
      </w:r>
    </w:p>
    <w:p w14:paraId="202A0361" w14:textId="77777777" w:rsidR="00D311F8" w:rsidRDefault="0062033E" w:rsidP="00D311F8">
      <w:pPr>
        <w:pStyle w:val="IEEEParagraph"/>
        <w:rPr>
          <w:lang w:val="en-GB"/>
        </w:rPr>
      </w:pPr>
      <w:r>
        <w:rPr>
          <w:lang w:val="en-GB"/>
        </w:rPr>
        <w:lastRenderedPageBreak/>
        <w:t xml:space="preserve">The </w:t>
      </w:r>
      <w:r w:rsidR="002C1A7F">
        <w:rPr>
          <w:lang w:val="en-GB"/>
        </w:rPr>
        <w:t xml:space="preserve">heading of the </w:t>
      </w:r>
      <w:r w:rsidR="00074AC8">
        <w:rPr>
          <w:lang w:val="en-GB"/>
        </w:rPr>
        <w:t>A</w:t>
      </w:r>
      <w:r>
        <w:rPr>
          <w:lang w:val="en-GB"/>
        </w:rPr>
        <w:t>cknowledg</w:t>
      </w:r>
      <w:r w:rsidR="000C013C" w:rsidRPr="000C013C">
        <w:rPr>
          <w:lang w:val="en-GB"/>
        </w:rPr>
        <w:t>me</w:t>
      </w:r>
      <w:r>
        <w:rPr>
          <w:lang w:val="en-GB"/>
        </w:rPr>
        <w:t xml:space="preserve">nt </w:t>
      </w:r>
      <w:r w:rsidR="00074AC8">
        <w:rPr>
          <w:lang w:val="en-GB"/>
        </w:rPr>
        <w:t xml:space="preserve">section </w:t>
      </w:r>
      <w:r w:rsidR="00A75671">
        <w:rPr>
          <w:lang w:val="en-GB"/>
        </w:rPr>
        <w:t xml:space="preserve">and </w:t>
      </w:r>
      <w:r w:rsidR="00074AC8">
        <w:rPr>
          <w:lang w:val="en-GB"/>
        </w:rPr>
        <w:t>the R</w:t>
      </w:r>
      <w:r w:rsidR="00A75671">
        <w:rPr>
          <w:lang w:val="en-GB"/>
        </w:rPr>
        <w:t xml:space="preserve">eferences </w:t>
      </w:r>
      <w:r w:rsidR="002C1A7F">
        <w:rPr>
          <w:lang w:val="en-GB"/>
        </w:rPr>
        <w:t xml:space="preserve">section </w:t>
      </w:r>
      <w:r>
        <w:rPr>
          <w:lang w:val="en-GB"/>
        </w:rPr>
        <w:t>must</w:t>
      </w:r>
      <w:r w:rsidR="002C559D">
        <w:rPr>
          <w:lang w:val="en-GB"/>
        </w:rPr>
        <w:t xml:space="preserve"> not be numbered.</w:t>
      </w:r>
    </w:p>
    <w:p w14:paraId="06D066E6" w14:textId="77777777" w:rsidR="00A9318B" w:rsidRDefault="00D311F8" w:rsidP="00074AC8">
      <w:pPr>
        <w:pStyle w:val="IEEEParagraph"/>
      </w:pPr>
      <w:r w:rsidRPr="00D311F8">
        <w:t xml:space="preserve">Causal Productions wishes to acknowledge Michael Shell and other contributors for developing and maintaining the IEEE LaTeX style files which have been used in the preparation of this template.  </w:t>
      </w:r>
      <w:r w:rsidR="00074AC8">
        <w:t>T</w:t>
      </w:r>
      <w:r w:rsidR="00074AC8" w:rsidRPr="00D311F8">
        <w:t>o see the list of contributors</w:t>
      </w:r>
      <w:r w:rsidR="00074AC8">
        <w:t>, p</w:t>
      </w:r>
      <w:r w:rsidRPr="00D311F8">
        <w:t xml:space="preserve">lease refer to the top of file IEEETran.cls </w:t>
      </w:r>
      <w:r w:rsidR="00F74B89">
        <w:t>in the IEEE LaTeX distribution</w:t>
      </w:r>
      <w:r w:rsidRPr="00D311F8">
        <w:t>.</w:t>
      </w:r>
    </w:p>
    <w:p w14:paraId="0408440D" w14:textId="77777777" w:rsidR="001928FB" w:rsidRDefault="001928FB" w:rsidP="00F06A72">
      <w:pPr>
        <w:pStyle w:val="IEEEHeading1"/>
        <w:numPr>
          <w:ilvl w:val="0"/>
          <w:numId w:val="0"/>
        </w:numPr>
      </w:pPr>
      <w:r>
        <w:t>References</w:t>
      </w:r>
    </w:p>
    <w:p w14:paraId="4C274691" w14:textId="77777777" w:rsidR="008B6AE3" w:rsidRDefault="0062033E" w:rsidP="008B6AE3">
      <w:pPr>
        <w:pStyle w:val="IEEEReferenceItem"/>
      </w:pPr>
      <w:r>
        <w:rPr>
          <w:lang w:val="en-AU"/>
        </w:rPr>
        <w:t xml:space="preserve">S. M. </w:t>
      </w:r>
      <w:r w:rsidRPr="0062033E">
        <w:rPr>
          <w:lang w:val="en-AU"/>
        </w:rPr>
        <w:t xml:space="preserve">Metev and V. P. Veiko, </w:t>
      </w:r>
      <w:r w:rsidRPr="0062033E">
        <w:rPr>
          <w:i/>
          <w:iCs/>
          <w:lang w:val="en-AU"/>
        </w:rPr>
        <w:t>Laser Assisted Microtechnology</w:t>
      </w:r>
      <w:r w:rsidRPr="0062033E">
        <w:rPr>
          <w:lang w:val="en-AU"/>
        </w:rPr>
        <w:t>, 2nd ed.,</w:t>
      </w:r>
      <w:r>
        <w:rPr>
          <w:lang w:val="en-AU"/>
        </w:rPr>
        <w:t xml:space="preserve"> </w:t>
      </w:r>
      <w:r w:rsidR="008B6AE3">
        <w:t xml:space="preserve">R. M. Osgood, Jr., Ed.  </w:t>
      </w:r>
      <w:smartTag w:uri="urn:schemas-microsoft-com:office:smarttags" w:element="place">
        <w:smartTag w:uri="urn:schemas-microsoft-com:office:smarttags" w:element="City">
          <w:r w:rsidRPr="0062033E">
            <w:t>Berlin</w:t>
          </w:r>
        </w:smartTag>
        <w:r w:rsidRPr="0062033E">
          <w:t xml:space="preserve">, </w:t>
        </w:r>
        <w:smartTag w:uri="urn:schemas-microsoft-com:office:smarttags" w:element="country-region">
          <w:r w:rsidRPr="0062033E">
            <w:t>Germany</w:t>
          </w:r>
        </w:smartTag>
      </w:smartTag>
      <w:r w:rsidRPr="0062033E">
        <w:t>: Springer-Verlag, 1998.</w:t>
      </w:r>
    </w:p>
    <w:p w14:paraId="19CB0A16" w14:textId="77777777" w:rsidR="008B6AE3" w:rsidRDefault="0062033E" w:rsidP="008B6AE3">
      <w:pPr>
        <w:pStyle w:val="IEEEReferenceItem"/>
      </w:pPr>
      <w:r w:rsidRPr="008B6AE3">
        <w:t xml:space="preserve">J. Breckling, Ed., </w:t>
      </w:r>
      <w:r w:rsidR="008B6AE3" w:rsidRPr="008B6AE3">
        <w:rPr>
          <w:i/>
          <w:iCs/>
        </w:rPr>
        <w:t xml:space="preserve">The </w:t>
      </w:r>
      <w:r w:rsidRPr="008B6AE3">
        <w:rPr>
          <w:i/>
          <w:iCs/>
        </w:rPr>
        <w:t>Analysis of Directional Time Series: Applications</w:t>
      </w:r>
      <w:r w:rsidR="008B6AE3" w:rsidRPr="008B6AE3">
        <w:rPr>
          <w:i/>
          <w:iCs/>
        </w:rPr>
        <w:t xml:space="preserve"> to Wind Speed and Direction</w:t>
      </w:r>
      <w:r w:rsidR="008B6AE3" w:rsidRPr="008B6AE3">
        <w:t>, ser. Lecture Not</w:t>
      </w:r>
      <w:r w:rsidR="008B6AE3">
        <w:t xml:space="preserve">es in Statistics.  </w:t>
      </w:r>
      <w:smartTag w:uri="urn:schemas-microsoft-com:office:smarttags" w:element="place">
        <w:smartTag w:uri="urn:schemas-microsoft-com:office:smarttags" w:element="City">
          <w:r w:rsidR="008B6AE3" w:rsidRPr="008B6AE3">
            <w:t>Berlin</w:t>
          </w:r>
        </w:smartTag>
        <w:r w:rsidR="008B6AE3" w:rsidRPr="008B6AE3">
          <w:t xml:space="preserve">, </w:t>
        </w:r>
        <w:smartTag w:uri="urn:schemas-microsoft-com:office:smarttags" w:element="country-region">
          <w:r w:rsidR="008B6AE3" w:rsidRPr="008B6AE3">
            <w:t>Germany</w:t>
          </w:r>
        </w:smartTag>
      </w:smartTag>
      <w:r w:rsidR="008B6AE3" w:rsidRPr="008B6AE3">
        <w:t>: Springer, 1989, vol. 61.</w:t>
      </w:r>
    </w:p>
    <w:p w14:paraId="1D4EA691" w14:textId="77777777" w:rsidR="008B6AE3" w:rsidRDefault="008B6AE3" w:rsidP="008B6AE3">
      <w:pPr>
        <w:pStyle w:val="IEEEReferenceItem"/>
      </w:pPr>
      <w:r w:rsidRPr="008B6AE3">
        <w:t xml:space="preserve">S. Zhang, C. Zhu, J. K. O. Sin, and P. K. T. Mok, “A novel ultrathin elevated channel low-temperature poly-Si TFT,” </w:t>
      </w:r>
      <w:r w:rsidRPr="008B6AE3">
        <w:rPr>
          <w:i/>
          <w:iCs/>
        </w:rPr>
        <w:t>IEEE Electron Device Lett.</w:t>
      </w:r>
      <w:r w:rsidRPr="008B6AE3">
        <w:t>, vol. 20, pp. 569–571, Nov. 1999.</w:t>
      </w:r>
    </w:p>
    <w:p w14:paraId="6D58C178" w14:textId="77777777" w:rsidR="008B6AE3" w:rsidRPr="008B6AE3" w:rsidRDefault="008B6AE3" w:rsidP="008B6AE3">
      <w:pPr>
        <w:pStyle w:val="IEEEReferenceItem"/>
      </w:pPr>
      <w:r w:rsidRPr="008B6AE3">
        <w:t>M. Wegmuller, J. P. von der Weid, P. Oberson, and N. Gisin, “High</w:t>
      </w:r>
      <w:r>
        <w:t xml:space="preserve"> </w:t>
      </w:r>
      <w:r w:rsidRPr="008B6AE3">
        <w:t xml:space="preserve">resolution fiber distributed measurements with coherent OFDR,” in </w:t>
      </w:r>
      <w:r w:rsidRPr="008B6AE3">
        <w:rPr>
          <w:i/>
          <w:iCs/>
        </w:rPr>
        <w:t>Proc. ECOC’00</w:t>
      </w:r>
      <w:r w:rsidRPr="008B6AE3">
        <w:t>, 2000, paper 11.3.4, p. 109.</w:t>
      </w:r>
    </w:p>
    <w:p w14:paraId="01030CA9" w14:textId="77777777" w:rsidR="0003296C" w:rsidRPr="0003296C" w:rsidRDefault="0003296C" w:rsidP="0003296C">
      <w:pPr>
        <w:pStyle w:val="IEEEReferenceItem"/>
        <w:rPr>
          <w:lang w:val="en-AU"/>
        </w:rPr>
      </w:pPr>
      <w:r w:rsidRPr="0003296C">
        <w:t>R. E. Sorace, V. S. Reinhardt, and S. A. Vaughn, “High-speed</w:t>
      </w:r>
      <w:r>
        <w:t xml:space="preserve"> digital-to-RF converter,” </w:t>
      </w:r>
      <w:r w:rsidRPr="0003296C">
        <w:rPr>
          <w:lang w:val="en-AU"/>
        </w:rPr>
        <w:t>U.S. Patent 5 668 842, Sept. 16, 1997.</w:t>
      </w:r>
    </w:p>
    <w:p w14:paraId="6D0970CE" w14:textId="77777777" w:rsidR="008B6AE3" w:rsidRPr="00074AC8" w:rsidRDefault="006D1C2A" w:rsidP="00074AC8">
      <w:pPr>
        <w:pStyle w:val="IEEEReferenceItem"/>
        <w:rPr>
          <w:lang w:val="en-AU"/>
        </w:rPr>
      </w:pPr>
      <w:r>
        <w:t xml:space="preserve"> </w:t>
      </w:r>
      <w:r w:rsidR="00ED61CB" w:rsidRPr="00ED61CB">
        <w:rPr>
          <w:lang w:val="en-AU"/>
        </w:rPr>
        <w:t>(2002) The IEEE website. [Online].</w:t>
      </w:r>
      <w:r w:rsidR="00074AC8">
        <w:rPr>
          <w:lang w:val="en-AU"/>
        </w:rPr>
        <w:t xml:space="preserve"> Available: http://www.ieee.org</w:t>
      </w:r>
      <w:r w:rsidR="008B6AE3" w:rsidRPr="008B6AE3">
        <w:t>/</w:t>
      </w:r>
    </w:p>
    <w:p w14:paraId="1E397EA2" w14:textId="77777777" w:rsidR="0003296C" w:rsidRPr="0003296C" w:rsidRDefault="0003296C" w:rsidP="0003296C">
      <w:pPr>
        <w:pStyle w:val="IEEEReferenceItem"/>
        <w:rPr>
          <w:lang w:val="en-AU"/>
        </w:rPr>
      </w:pPr>
      <w:r w:rsidRPr="0003296C">
        <w:rPr>
          <w:lang w:val="en-AU"/>
        </w:rPr>
        <w:t>M. Shell. (2002) IEEEtran homepage on</w:t>
      </w:r>
      <w:r>
        <w:rPr>
          <w:lang w:val="en-AU"/>
        </w:rPr>
        <w:t xml:space="preserve"> CTAN. </w:t>
      </w:r>
      <w:r w:rsidRPr="0003296C">
        <w:t>[Online]. Available: http://www.ctan.org/</w:t>
      </w:r>
      <w:r>
        <w:t>tex-archive/</w:t>
      </w:r>
      <w:r w:rsidRPr="0003296C">
        <w:rPr>
          <w:lang w:val="en-AU"/>
        </w:rPr>
        <w:t>macros/latex/contrib/supported/IEEEtran/</w:t>
      </w:r>
    </w:p>
    <w:p w14:paraId="1EBBCC2B" w14:textId="77777777" w:rsidR="0003296C" w:rsidRPr="0003296C" w:rsidRDefault="0003296C" w:rsidP="0003296C">
      <w:pPr>
        <w:pStyle w:val="IEEEReferenceItem"/>
        <w:rPr>
          <w:lang w:val="en-AU"/>
        </w:rPr>
      </w:pPr>
      <w:r w:rsidRPr="0003296C">
        <w:rPr>
          <w:i/>
          <w:iCs/>
          <w:lang w:val="en-AU"/>
        </w:rPr>
        <w:t>FLEXChip Signal Processor (MC68175/D)</w:t>
      </w:r>
      <w:r w:rsidRPr="0003296C">
        <w:rPr>
          <w:lang w:val="en-AU"/>
        </w:rPr>
        <w:t>, Motorola, 1996.</w:t>
      </w:r>
    </w:p>
    <w:p w14:paraId="259453C2" w14:textId="77777777" w:rsidR="0003296C" w:rsidRPr="0003296C" w:rsidRDefault="0003296C" w:rsidP="0003296C">
      <w:pPr>
        <w:pStyle w:val="IEEEReferenceItem"/>
        <w:rPr>
          <w:lang w:val="en-AU"/>
        </w:rPr>
      </w:pPr>
      <w:r w:rsidRPr="0003296C">
        <w:rPr>
          <w:lang w:val="en-AU"/>
        </w:rPr>
        <w:t xml:space="preserve">“PDCA12-70 data sheet,” Opto Speed SA, </w:t>
      </w:r>
      <w:smartTag w:uri="urn:schemas-microsoft-com:office:smarttags" w:element="place">
        <w:smartTag w:uri="urn:schemas-microsoft-com:office:smarttags" w:element="City">
          <w:r w:rsidRPr="0003296C">
            <w:rPr>
              <w:lang w:val="en-AU"/>
            </w:rPr>
            <w:t>Mezzovico</w:t>
          </w:r>
        </w:smartTag>
        <w:r w:rsidRPr="0003296C">
          <w:rPr>
            <w:lang w:val="en-AU"/>
          </w:rPr>
          <w:t xml:space="preserve">, </w:t>
        </w:r>
        <w:smartTag w:uri="urn:schemas-microsoft-com:office:smarttags" w:element="country-region">
          <w:r w:rsidRPr="0003296C">
            <w:rPr>
              <w:lang w:val="en-AU"/>
            </w:rPr>
            <w:t>Switzerland</w:t>
          </w:r>
        </w:smartTag>
      </w:smartTag>
      <w:r w:rsidRPr="0003296C">
        <w:rPr>
          <w:lang w:val="en-AU"/>
        </w:rPr>
        <w:t>.</w:t>
      </w:r>
    </w:p>
    <w:p w14:paraId="465DED8D" w14:textId="77777777" w:rsidR="0003296C" w:rsidRPr="0003296C" w:rsidRDefault="0003296C" w:rsidP="0003296C">
      <w:pPr>
        <w:pStyle w:val="IEEEReferenceItem"/>
      </w:pPr>
      <w:r w:rsidRPr="0003296C">
        <w:t>A. Karnik, “Performance of TCP congestion control with rate feedback:</w:t>
      </w:r>
      <w:r>
        <w:t xml:space="preserve"> </w:t>
      </w:r>
      <w:r w:rsidRPr="0003296C">
        <w:rPr>
          <w:lang w:val="en-AU"/>
        </w:rPr>
        <w:t>TCP/ABR and rate adaptive TCP/IP,” M. Eng. thesis, Indian Institute of</w:t>
      </w:r>
      <w:r>
        <w:rPr>
          <w:lang w:val="en-AU"/>
        </w:rPr>
        <w:t xml:space="preserve"> </w:t>
      </w:r>
      <w:r w:rsidRPr="0003296C">
        <w:t xml:space="preserve">Science, </w:t>
      </w:r>
      <w:smartTag w:uri="urn:schemas-microsoft-com:office:smarttags" w:element="place">
        <w:smartTag w:uri="urn:schemas-microsoft-com:office:smarttags" w:element="City">
          <w:r w:rsidRPr="0003296C">
            <w:t>Bangalore</w:t>
          </w:r>
        </w:smartTag>
        <w:r w:rsidRPr="0003296C">
          <w:t xml:space="preserve">, </w:t>
        </w:r>
        <w:smartTag w:uri="urn:schemas-microsoft-com:office:smarttags" w:element="country-region">
          <w:r w:rsidRPr="0003296C">
            <w:t>India</w:t>
          </w:r>
        </w:smartTag>
      </w:smartTag>
      <w:r w:rsidRPr="0003296C">
        <w:t>, Jan. 1999.</w:t>
      </w:r>
    </w:p>
    <w:p w14:paraId="1C6F1D48" w14:textId="77777777" w:rsidR="0003296C" w:rsidRPr="0003296C" w:rsidRDefault="0003296C" w:rsidP="0003296C">
      <w:pPr>
        <w:pStyle w:val="IEEEReferenceItem"/>
      </w:pPr>
      <w:r w:rsidRPr="0003296C">
        <w:t>J. Padhye, V. Firoiu, and D. Towsley, “A stochastic model of TCP Reno</w:t>
      </w:r>
      <w:r>
        <w:t xml:space="preserve"> </w:t>
      </w:r>
      <w:r w:rsidRPr="0003296C">
        <w:rPr>
          <w:lang w:val="en-AU"/>
        </w:rPr>
        <w:t xml:space="preserve">congestion avoidance and control,” </w:t>
      </w:r>
      <w:smartTag w:uri="urn:schemas-microsoft-com:office:smarttags" w:element="PlaceType">
        <w:r w:rsidRPr="0003296C">
          <w:rPr>
            <w:lang w:val="en-AU"/>
          </w:rPr>
          <w:t>Univ.</w:t>
        </w:r>
      </w:smartTag>
      <w:r w:rsidRPr="0003296C">
        <w:rPr>
          <w:lang w:val="en-AU"/>
        </w:rPr>
        <w:t xml:space="preserve"> of </w:t>
      </w:r>
      <w:smartTag w:uri="urn:schemas-microsoft-com:office:smarttags" w:element="PlaceName">
        <w:r w:rsidRPr="0003296C">
          <w:rPr>
            <w:lang w:val="en-AU"/>
          </w:rPr>
          <w:t>Massachusetts</w:t>
        </w:r>
      </w:smartTag>
      <w:r w:rsidRPr="0003296C">
        <w:rPr>
          <w:lang w:val="en-AU"/>
        </w:rPr>
        <w:t xml:space="preserve">, </w:t>
      </w:r>
      <w:smartTag w:uri="urn:schemas-microsoft-com:office:smarttags" w:element="place">
        <w:smartTag w:uri="urn:schemas-microsoft-com:office:smarttags" w:element="City">
          <w:r w:rsidRPr="0003296C">
            <w:rPr>
              <w:lang w:val="en-AU"/>
            </w:rPr>
            <w:t>Amherst</w:t>
          </w:r>
        </w:smartTag>
        <w:r w:rsidRPr="0003296C">
          <w:rPr>
            <w:lang w:val="en-AU"/>
          </w:rPr>
          <w:t>,</w:t>
        </w:r>
        <w:r>
          <w:rPr>
            <w:lang w:val="en-AU"/>
          </w:rPr>
          <w:t xml:space="preserve"> </w:t>
        </w:r>
        <w:smartTag w:uri="urn:schemas-microsoft-com:office:smarttags" w:element="State">
          <w:r w:rsidRPr="0003296C">
            <w:t>MA</w:t>
          </w:r>
        </w:smartTag>
      </w:smartTag>
      <w:r w:rsidRPr="0003296C">
        <w:t>, CMPSCI Tech. Rep. 99-02, 1999.</w:t>
      </w:r>
    </w:p>
    <w:p w14:paraId="6DC30B93" w14:textId="77777777" w:rsidR="00877D4C" w:rsidRDefault="0003296C" w:rsidP="00877D4C">
      <w:pPr>
        <w:pStyle w:val="IEEEReferenceItem"/>
      </w:pPr>
      <w:r w:rsidRPr="0003296C">
        <w:rPr>
          <w:i/>
          <w:iCs/>
        </w:rPr>
        <w:t>Wireless LAN Medium Access Control (MAC) and Physical Layer (PHY) Specification</w:t>
      </w:r>
      <w:r w:rsidRPr="0003296C">
        <w:rPr>
          <w:lang w:val="en-AU"/>
        </w:rPr>
        <w:t>,</w:t>
      </w:r>
      <w:r>
        <w:rPr>
          <w:lang w:val="en-AU"/>
        </w:rPr>
        <w:t xml:space="preserve"> </w:t>
      </w:r>
      <w:r w:rsidRPr="0003296C">
        <w:t>IEEE Std. 802.11, 1997.</w:t>
      </w:r>
    </w:p>
    <w:p w14:paraId="6E9FFDFC" w14:textId="77777777" w:rsidR="00877D4C" w:rsidRDefault="00877D4C" w:rsidP="00877D4C">
      <w:pPr>
        <w:pStyle w:val="IEEEReferenceItem"/>
        <w:numPr>
          <w:ilvl w:val="0"/>
          <w:numId w:val="0"/>
        </w:numPr>
        <w:sectPr w:rsidR="00877D4C" w:rsidSect="00E06664">
          <w:type w:val="continuous"/>
          <w:pgSz w:w="11906" w:h="16838"/>
          <w:pgMar w:top="1077" w:right="811" w:bottom="2438" w:left="811" w:header="709" w:footer="709" w:gutter="0"/>
          <w:cols w:num="2" w:space="238"/>
          <w:docGrid w:linePitch="360"/>
        </w:sectPr>
      </w:pPr>
    </w:p>
    <w:p w14:paraId="0ADFA8DB" w14:textId="77777777" w:rsidR="00877D4C" w:rsidRPr="0003296C" w:rsidRDefault="00877D4C" w:rsidP="009926BC">
      <w:pPr>
        <w:pStyle w:val="IEEEReferenceItem"/>
        <w:numPr>
          <w:ilvl w:val="0"/>
          <w:numId w:val="0"/>
        </w:numPr>
      </w:pPr>
    </w:p>
    <w:sectPr w:rsidR="00877D4C" w:rsidRPr="0003296C" w:rsidSect="00E06664">
      <w:type w:val="continuous"/>
      <w:pgSz w:w="11906" w:h="16838"/>
      <w:pgMar w:top="1077" w:right="811" w:bottom="2438" w:left="811" w:header="709" w:footer="709" w:gutter="0"/>
      <w:cols w:num="2" w:space="23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outline w:val="0"/>
        <w:shadow w:val="0"/>
        <w:emboss w:val="0"/>
        <w:imprint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 w15:restartNumberingAfterBreak="0">
    <w:nsid w:val="328273D7"/>
    <w:multiLevelType w:val="multilevel"/>
    <w:tmpl w:val="9C8E938C"/>
    <w:numStyleLink w:val="IEEEBullet1"/>
  </w:abstractNum>
  <w:abstractNum w:abstractNumId="3"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outline w:val="0"/>
        <w:shadow w:val="0"/>
        <w:emboss w:val="0"/>
        <w:imprint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290088798">
    <w:abstractNumId w:val="4"/>
  </w:num>
  <w:num w:numId="2" w16cid:durableId="1591503071">
    <w:abstractNumId w:val="5"/>
  </w:num>
  <w:num w:numId="3" w16cid:durableId="1570191518">
    <w:abstractNumId w:val="4"/>
  </w:num>
  <w:num w:numId="4" w16cid:durableId="117257530">
    <w:abstractNumId w:val="4"/>
  </w:num>
  <w:num w:numId="5" w16cid:durableId="623317333">
    <w:abstractNumId w:val="3"/>
  </w:num>
  <w:num w:numId="6" w16cid:durableId="1697466124">
    <w:abstractNumId w:val="2"/>
  </w:num>
  <w:num w:numId="7" w16cid:durableId="1994214763">
    <w:abstractNumId w:val="0"/>
  </w:num>
  <w:num w:numId="8" w16cid:durableId="866063490">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applyBreaking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6FBB"/>
    <w:rsid w:val="000002E1"/>
    <w:rsid w:val="00017719"/>
    <w:rsid w:val="00027F1D"/>
    <w:rsid w:val="0003296C"/>
    <w:rsid w:val="00042A74"/>
    <w:rsid w:val="00042F9F"/>
    <w:rsid w:val="00054421"/>
    <w:rsid w:val="00062E46"/>
    <w:rsid w:val="00074AC8"/>
    <w:rsid w:val="00081408"/>
    <w:rsid w:val="00081EBE"/>
    <w:rsid w:val="00086EDC"/>
    <w:rsid w:val="000B36A3"/>
    <w:rsid w:val="000C013C"/>
    <w:rsid w:val="000E3F84"/>
    <w:rsid w:val="001056DF"/>
    <w:rsid w:val="00114025"/>
    <w:rsid w:val="001160D2"/>
    <w:rsid w:val="001348A5"/>
    <w:rsid w:val="00151B8E"/>
    <w:rsid w:val="00182170"/>
    <w:rsid w:val="001928FB"/>
    <w:rsid w:val="00192BC7"/>
    <w:rsid w:val="001A50EA"/>
    <w:rsid w:val="001F16CD"/>
    <w:rsid w:val="001F47D2"/>
    <w:rsid w:val="001F6D0E"/>
    <w:rsid w:val="0022285A"/>
    <w:rsid w:val="00224C61"/>
    <w:rsid w:val="002448EE"/>
    <w:rsid w:val="0027227B"/>
    <w:rsid w:val="00273AC7"/>
    <w:rsid w:val="00273D2C"/>
    <w:rsid w:val="00285ECD"/>
    <w:rsid w:val="00290E1B"/>
    <w:rsid w:val="00291B17"/>
    <w:rsid w:val="002A6742"/>
    <w:rsid w:val="002C1A7F"/>
    <w:rsid w:val="002C4239"/>
    <w:rsid w:val="002C559D"/>
    <w:rsid w:val="002D2D42"/>
    <w:rsid w:val="002F72D0"/>
    <w:rsid w:val="003003AB"/>
    <w:rsid w:val="00311C49"/>
    <w:rsid w:val="0032119E"/>
    <w:rsid w:val="00321304"/>
    <w:rsid w:val="00323A8A"/>
    <w:rsid w:val="00331F84"/>
    <w:rsid w:val="003412B1"/>
    <w:rsid w:val="003950A4"/>
    <w:rsid w:val="003B3FFB"/>
    <w:rsid w:val="003B634C"/>
    <w:rsid w:val="003E3577"/>
    <w:rsid w:val="003F3A61"/>
    <w:rsid w:val="00410A5D"/>
    <w:rsid w:val="00414909"/>
    <w:rsid w:val="00425A6A"/>
    <w:rsid w:val="00426FBB"/>
    <w:rsid w:val="0047429A"/>
    <w:rsid w:val="0048374C"/>
    <w:rsid w:val="0048771D"/>
    <w:rsid w:val="00491D99"/>
    <w:rsid w:val="004A6605"/>
    <w:rsid w:val="004C45FA"/>
    <w:rsid w:val="004E1BD8"/>
    <w:rsid w:val="004E452A"/>
    <w:rsid w:val="004E78E3"/>
    <w:rsid w:val="005004BF"/>
    <w:rsid w:val="00502E89"/>
    <w:rsid w:val="00510E95"/>
    <w:rsid w:val="00523A20"/>
    <w:rsid w:val="00526EF1"/>
    <w:rsid w:val="00527D56"/>
    <w:rsid w:val="0053221F"/>
    <w:rsid w:val="00536FAE"/>
    <w:rsid w:val="00542C85"/>
    <w:rsid w:val="00553510"/>
    <w:rsid w:val="00554186"/>
    <w:rsid w:val="00585769"/>
    <w:rsid w:val="00591130"/>
    <w:rsid w:val="005A3F28"/>
    <w:rsid w:val="005A40BE"/>
    <w:rsid w:val="005B13E2"/>
    <w:rsid w:val="005B47D7"/>
    <w:rsid w:val="005C5526"/>
    <w:rsid w:val="005C62C6"/>
    <w:rsid w:val="005D7B9E"/>
    <w:rsid w:val="005F0834"/>
    <w:rsid w:val="005F6DC3"/>
    <w:rsid w:val="00601A8E"/>
    <w:rsid w:val="0062033E"/>
    <w:rsid w:val="00624482"/>
    <w:rsid w:val="0064799C"/>
    <w:rsid w:val="00654156"/>
    <w:rsid w:val="006B47CA"/>
    <w:rsid w:val="006B6A17"/>
    <w:rsid w:val="006C7AAA"/>
    <w:rsid w:val="006D1C2A"/>
    <w:rsid w:val="006D264F"/>
    <w:rsid w:val="006E2A8D"/>
    <w:rsid w:val="006E7574"/>
    <w:rsid w:val="00703430"/>
    <w:rsid w:val="007069BE"/>
    <w:rsid w:val="00745C86"/>
    <w:rsid w:val="00764603"/>
    <w:rsid w:val="0076604D"/>
    <w:rsid w:val="00773080"/>
    <w:rsid w:val="007753A9"/>
    <w:rsid w:val="00790909"/>
    <w:rsid w:val="007B5A07"/>
    <w:rsid w:val="007D3E71"/>
    <w:rsid w:val="007E5D6A"/>
    <w:rsid w:val="007E645D"/>
    <w:rsid w:val="007F75CA"/>
    <w:rsid w:val="00821E08"/>
    <w:rsid w:val="00834EFD"/>
    <w:rsid w:val="00844B24"/>
    <w:rsid w:val="0084515F"/>
    <w:rsid w:val="0085092D"/>
    <w:rsid w:val="00877D4C"/>
    <w:rsid w:val="00883903"/>
    <w:rsid w:val="0089763B"/>
    <w:rsid w:val="008B6AE3"/>
    <w:rsid w:val="008D1045"/>
    <w:rsid w:val="008E5996"/>
    <w:rsid w:val="00901AE1"/>
    <w:rsid w:val="009205B4"/>
    <w:rsid w:val="00955B59"/>
    <w:rsid w:val="00992262"/>
    <w:rsid w:val="009926BC"/>
    <w:rsid w:val="009A4319"/>
    <w:rsid w:val="009A6C3F"/>
    <w:rsid w:val="009B73F2"/>
    <w:rsid w:val="009C12BD"/>
    <w:rsid w:val="009C277D"/>
    <w:rsid w:val="009C50FE"/>
    <w:rsid w:val="00A03E75"/>
    <w:rsid w:val="00A32BFA"/>
    <w:rsid w:val="00A45FCE"/>
    <w:rsid w:val="00A75671"/>
    <w:rsid w:val="00A773CC"/>
    <w:rsid w:val="00A9318B"/>
    <w:rsid w:val="00A94AC1"/>
    <w:rsid w:val="00AB18B7"/>
    <w:rsid w:val="00AD335D"/>
    <w:rsid w:val="00AF792B"/>
    <w:rsid w:val="00B55D5E"/>
    <w:rsid w:val="00B94516"/>
    <w:rsid w:val="00BB2855"/>
    <w:rsid w:val="00BD19C1"/>
    <w:rsid w:val="00BD25B8"/>
    <w:rsid w:val="00C012E1"/>
    <w:rsid w:val="00C06BB4"/>
    <w:rsid w:val="00C10D20"/>
    <w:rsid w:val="00C12E0C"/>
    <w:rsid w:val="00C21916"/>
    <w:rsid w:val="00C31B13"/>
    <w:rsid w:val="00C457CA"/>
    <w:rsid w:val="00C51F26"/>
    <w:rsid w:val="00C57FB7"/>
    <w:rsid w:val="00C65F3F"/>
    <w:rsid w:val="00C72414"/>
    <w:rsid w:val="00C7567E"/>
    <w:rsid w:val="00C8667B"/>
    <w:rsid w:val="00CA4CE3"/>
    <w:rsid w:val="00CD4F3F"/>
    <w:rsid w:val="00D0736C"/>
    <w:rsid w:val="00D311F8"/>
    <w:rsid w:val="00D36B52"/>
    <w:rsid w:val="00D377C8"/>
    <w:rsid w:val="00D41274"/>
    <w:rsid w:val="00D414FE"/>
    <w:rsid w:val="00D43BF3"/>
    <w:rsid w:val="00D767BB"/>
    <w:rsid w:val="00D939B0"/>
    <w:rsid w:val="00DB0D8D"/>
    <w:rsid w:val="00DB16E0"/>
    <w:rsid w:val="00DB2DF9"/>
    <w:rsid w:val="00DB7E63"/>
    <w:rsid w:val="00DC2055"/>
    <w:rsid w:val="00DD71E8"/>
    <w:rsid w:val="00DD7F83"/>
    <w:rsid w:val="00E0641E"/>
    <w:rsid w:val="00E06664"/>
    <w:rsid w:val="00E304BC"/>
    <w:rsid w:val="00E32853"/>
    <w:rsid w:val="00E401F8"/>
    <w:rsid w:val="00E46425"/>
    <w:rsid w:val="00E47D0E"/>
    <w:rsid w:val="00E65018"/>
    <w:rsid w:val="00E94339"/>
    <w:rsid w:val="00E97563"/>
    <w:rsid w:val="00EB0B63"/>
    <w:rsid w:val="00EC265C"/>
    <w:rsid w:val="00ED61CB"/>
    <w:rsid w:val="00F06A72"/>
    <w:rsid w:val="00F136F0"/>
    <w:rsid w:val="00F20BBB"/>
    <w:rsid w:val="00F25DCB"/>
    <w:rsid w:val="00F43BD8"/>
    <w:rsid w:val="00F562F3"/>
    <w:rsid w:val="00F74B89"/>
    <w:rsid w:val="00F75133"/>
    <w:rsid w:val="00FA3899"/>
    <w:rsid w:val="00FA4909"/>
    <w:rsid w:val="00FA6751"/>
    <w:rsid w:val="00FB1048"/>
    <w:rsid w:val="00FB62C4"/>
    <w:rsid w:val="00FB7701"/>
    <w:rsid w:val="00FD1AC5"/>
    <w:rsid w:val="00FD5CF0"/>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57E1EB5F"/>
  <w15:docId w15:val="{107330E6-B34D-4C2E-9FB4-DDBA0367E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AE" w:eastAsia="en-A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8"/>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3"/>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style>
  <w:style w:type="paragraph" w:customStyle="1" w:styleId="IEEEHeading1">
    <w:name w:val="IEEE Heading 1"/>
    <w:basedOn w:val="Normal"/>
    <w:next w:val="IEEEParagraph"/>
    <w:rsid w:val="00273D2C"/>
    <w:pPr>
      <w:numPr>
        <w:numId w:val="7"/>
      </w:numPr>
      <w:adjustRightInd w:val="0"/>
      <w:snapToGrid w:val="0"/>
      <w:spacing w:before="180" w:after="60"/>
      <w:ind w:left="289" w:hanging="289"/>
      <w:jc w:val="center"/>
    </w:pPr>
    <w:rPr>
      <w:smallCaps/>
      <w:sz w:val="20"/>
    </w:rPr>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5"/>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Cs w:val="24"/>
      <w:lang w:val="en-AU"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8"/>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character" w:styleId="Hyperlink">
    <w:name w:val="Hyperlink"/>
    <w:rsid w:val="00323A8A"/>
    <w:rPr>
      <w:color w:val="0000FF"/>
      <w:u w:val="single"/>
    </w:rPr>
  </w:style>
  <w:style w:type="character" w:styleId="UnresolvedMention">
    <w:name w:val="Unresolved Mention"/>
    <w:uiPriority w:val="99"/>
    <w:semiHidden/>
    <w:unhideWhenUsed/>
    <w:rsid w:val="00323A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wmf"/><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374</TotalTime>
  <Pages>5</Pages>
  <Words>2268</Words>
  <Characters>12931</Characters>
  <Application>Microsoft Office Word</Application>
  <DocSecurity>0</DocSecurity>
  <Lines>107</Lines>
  <Paragraphs>30</Paragraphs>
  <ScaleCrop>false</ScaleCrop>
  <HeadingPairs>
    <vt:vector size="6" baseType="variant">
      <vt:variant>
        <vt:lpstr>Title</vt:lpstr>
      </vt:variant>
      <vt:variant>
        <vt:i4>1</vt:i4>
      </vt:variant>
      <vt:variant>
        <vt:lpstr>Titre</vt:lpstr>
      </vt:variant>
      <vt:variant>
        <vt:i4>1</vt:i4>
      </vt:variant>
      <vt:variant>
        <vt:lpstr>Título</vt:lpstr>
      </vt:variant>
      <vt:variant>
        <vt:i4>1</vt:i4>
      </vt:variant>
    </vt:vector>
  </HeadingPairs>
  <TitlesOfParts>
    <vt:vector size="3" baseType="lpstr">
      <vt:lpstr>IEEE Paper Template in A4 (V1)</vt:lpstr>
      <vt:lpstr>IEEE Paper Template in A4 (V1)</vt:lpstr>
      <vt:lpstr>IEEE Paper Template in A4 (V1)</vt:lpstr>
    </vt:vector>
  </TitlesOfParts>
  <Company>Cimahi</Company>
  <LinksUpToDate>false</LinksUpToDate>
  <CharactersWithSpaces>15169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creator>Causal Productions</dc:creator>
  <cp:lastModifiedBy>Jana M</cp:lastModifiedBy>
  <cp:revision>10</cp:revision>
  <cp:lastPrinted>2008-12-31T05:29:00Z</cp:lastPrinted>
  <dcterms:created xsi:type="dcterms:W3CDTF">2012-07-13T07:50:00Z</dcterms:created>
  <dcterms:modified xsi:type="dcterms:W3CDTF">2026-10-18T11:24:00Z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f052bbef84623ba3bef81ea3f8af1d93d718d9683b976e482585354a8bbcd82a</vt:lpwstr>
  </property>
</Properties>
</file>