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160"/>
        <w:jc w:val="center"/>
      </w:pPr>
      <w:r>
        <w:rPr>
          <w:b/>
          <w:i w:val="0"/>
          <w:color w:val="1F3864"/>
          <w:sz w:val="56"/>
        </w:rPr>
        <w:t>AKFA TRADING GROUP</w:t>
      </w:r>
    </w:p>
    <w:p>
      <w:pPr>
        <w:pBdr>
          <w:bottom w:val="single" w:sz="12" w:space="8" w:color="2E5FA3"/>
        </w:pBdr>
        <w:spacing w:after="160"/>
        <w:jc w:val="center"/>
      </w:pPr>
      <w:r>
        <w:rPr>
          <w:b w:val="0"/>
          <w:i w:val="0"/>
          <w:color w:val="2E5FA3"/>
          <w:sz w:val="34"/>
        </w:rPr>
        <w:t>Enterprise Information Security Risk Assessment</w:t>
      </w:r>
    </w:p>
    <w:p>
      <w:pPr>
        <w:spacing w:after="120"/>
      </w:pPr>
    </w:p>
    <w:p>
      <w:pPr>
        <w:spacing w:after="160"/>
        <w:jc w:val="center"/>
      </w:pPr>
      <w:r>
        <w:rPr>
          <w:b/>
          <w:i w:val="0"/>
          <w:sz w:val="24"/>
        </w:rPr>
        <w:t>Framework: ISO/IEC 27001:2022</w:t>
      </w:r>
    </w:p>
    <w:p>
      <w:pPr>
        <w:spacing w:after="160"/>
        <w:jc w:val="center"/>
      </w:pPr>
      <w:r>
        <w:rPr>
          <w:b w:val="0"/>
          <w:i/>
          <w:color w:val="595959"/>
          <w:sz w:val="22"/>
        </w:rPr>
        <w:t>Portfolio Case Study</w:t>
      </w:r>
    </w:p>
    <w:p/>
    <w:p/>
    <w:p/>
    <w:p/>
    <w:p/>
    <w:p/>
    <w:p>
      <w:pPr>
        <w:spacing w:after="80"/>
        <w:jc w:val="center"/>
      </w:pPr>
      <w:r>
        <w:rPr>
          <w:b w:val="0"/>
          <w:i w:val="0"/>
          <w:sz w:val="22"/>
        </w:rPr>
        <w:t>Prepared by: Reem Ibrahim</w:t>
      </w:r>
    </w:p>
    <w:p>
      <w:pPr>
        <w:spacing w:after="80"/>
        <w:jc w:val="center"/>
      </w:pPr>
      <w:r>
        <w:rPr>
          <w:b w:val="0"/>
          <w:i w:val="0"/>
          <w:sz w:val="22"/>
        </w:rPr>
        <w:t>Date: January 2026</w:t>
      </w:r>
    </w:p>
    <w:p>
      <w:r>
        <w:br w:type="page"/>
      </w:r>
    </w:p>
    <w:p>
      <w:pPr>
        <w:pStyle w:val="Heading1"/>
      </w:pPr>
      <w:r>
        <w:t>Table of Contents</w:t>
      </w:r>
    </w:p>
    <w:p>
      <w:pPr>
        <w:tabs>
          <w:tab w:pos="9014" w:val="right" w:leader="dot"/>
        </w:tabs>
        <w:spacing w:after="80"/>
        <w:ind w:left="0"/>
      </w:pPr>
      <w:r>
        <w:rPr>
          <w:rFonts w:ascii="Arial" w:hAnsi="Arial"/>
          <w:b/>
          <w:color w:val="1F3864"/>
          <w:sz w:val="22"/>
        </w:rPr>
        <w:t>1. Executive Summary</w:t>
      </w:r>
      <w:r>
        <w:rPr>
          <w:rFonts w:ascii="Arial" w:hAnsi="Arial"/>
          <w:sz w:val="22"/>
        </w:rPr>
        <w:tab/>
        <w:t>3</w:t>
      </w:r>
    </w:p>
    <w:p>
      <w:pPr>
        <w:tabs>
          <w:tab w:pos="9014" w:val="right" w:leader="dot"/>
        </w:tabs>
        <w:spacing w:after="80"/>
        <w:ind w:left="0"/>
      </w:pPr>
      <w:r>
        <w:rPr>
          <w:rFonts w:ascii="Arial" w:hAnsi="Arial"/>
          <w:b/>
          <w:color w:val="1F3864"/>
          <w:sz w:val="22"/>
        </w:rPr>
        <w:t>2. Organization Overview</w:t>
      </w:r>
      <w:r>
        <w:rPr>
          <w:rFonts w:ascii="Arial" w:hAnsi="Arial"/>
          <w:sz w:val="22"/>
        </w:rPr>
        <w:tab/>
        <w:t>3</w:t>
      </w:r>
    </w:p>
    <w:p>
      <w:pPr>
        <w:tabs>
          <w:tab w:pos="9014" w:val="right" w:leader="dot"/>
        </w:tabs>
        <w:spacing w:after="80"/>
        <w:ind w:left="0"/>
      </w:pPr>
      <w:r>
        <w:rPr>
          <w:rFonts w:ascii="Arial" w:hAnsi="Arial"/>
          <w:b/>
          <w:color w:val="1F3864"/>
          <w:sz w:val="22"/>
        </w:rPr>
        <w:t>3. Assessment Objectives</w:t>
      </w:r>
      <w:r>
        <w:rPr>
          <w:rFonts w:ascii="Arial" w:hAnsi="Arial"/>
          <w:sz w:val="22"/>
        </w:rPr>
        <w:tab/>
        <w:t>3</w:t>
      </w:r>
    </w:p>
    <w:p>
      <w:pPr>
        <w:tabs>
          <w:tab w:pos="9014" w:val="right" w:leader="dot"/>
        </w:tabs>
        <w:spacing w:after="80"/>
        <w:ind w:left="0"/>
      </w:pPr>
      <w:r>
        <w:rPr>
          <w:rFonts w:ascii="Arial" w:hAnsi="Arial"/>
          <w:b/>
          <w:color w:val="1F3864"/>
          <w:sz w:val="22"/>
        </w:rPr>
        <w:t>4. Scope</w:t>
      </w:r>
      <w:r>
        <w:rPr>
          <w:rFonts w:ascii="Arial" w:hAnsi="Arial"/>
          <w:sz w:val="22"/>
        </w:rPr>
        <w:tab/>
        <w:t>3</w:t>
      </w:r>
    </w:p>
    <w:p>
      <w:pPr>
        <w:tabs>
          <w:tab w:pos="9014" w:val="right" w:leader="dot"/>
        </w:tabs>
        <w:spacing w:after="80"/>
        <w:ind w:left="0"/>
      </w:pPr>
      <w:r>
        <w:rPr>
          <w:rFonts w:ascii="Arial" w:hAnsi="Arial"/>
          <w:b/>
          <w:color w:val="1F3864"/>
          <w:sz w:val="22"/>
        </w:rPr>
        <w:t>5. Risk Assessment Methodology</w:t>
      </w:r>
      <w:r>
        <w:rPr>
          <w:rFonts w:ascii="Arial" w:hAnsi="Arial"/>
          <w:sz w:val="22"/>
        </w:rPr>
        <w:tab/>
        <w:t>4</w:t>
      </w:r>
    </w:p>
    <w:p>
      <w:pPr>
        <w:tabs>
          <w:tab w:pos="9014" w:val="right" w:leader="dot"/>
        </w:tabs>
        <w:spacing w:after="80"/>
        <w:ind w:left="340"/>
      </w:pPr>
      <w:r>
        <w:rPr>
          <w:rFonts w:ascii="Arial" w:hAnsi="Arial"/>
          <w:b w:val="0"/>
          <w:color w:val="333333"/>
          <w:sz w:val="21"/>
        </w:rPr>
        <w:t>5.1 Scoring Scales</w:t>
      </w:r>
      <w:r>
        <w:rPr>
          <w:rFonts w:ascii="Arial" w:hAnsi="Arial"/>
          <w:sz w:val="21"/>
        </w:rPr>
        <w:tab/>
        <w:t>4</w:t>
      </w:r>
    </w:p>
    <w:p>
      <w:pPr>
        <w:tabs>
          <w:tab w:pos="9014" w:val="right" w:leader="dot"/>
        </w:tabs>
        <w:spacing w:after="80"/>
        <w:ind w:left="340"/>
      </w:pPr>
      <w:r>
        <w:rPr>
          <w:rFonts w:ascii="Arial" w:hAnsi="Arial"/>
          <w:b w:val="0"/>
          <w:color w:val="333333"/>
          <w:sz w:val="21"/>
        </w:rPr>
        <w:t>5.2 Risk Rating Bands</w:t>
      </w:r>
      <w:r>
        <w:rPr>
          <w:rFonts w:ascii="Arial" w:hAnsi="Arial"/>
          <w:sz w:val="21"/>
        </w:rPr>
        <w:tab/>
        <w:t>4</w:t>
      </w:r>
    </w:p>
    <w:p>
      <w:pPr>
        <w:tabs>
          <w:tab w:pos="9014" w:val="right" w:leader="dot"/>
        </w:tabs>
        <w:spacing w:after="80"/>
        <w:ind w:left="0"/>
      </w:pPr>
      <w:r>
        <w:rPr>
          <w:rFonts w:ascii="Arial" w:hAnsi="Arial"/>
          <w:b/>
          <w:color w:val="1F3864"/>
          <w:sz w:val="22"/>
        </w:rPr>
        <w:t>6. Critical Information Assets</w:t>
      </w:r>
      <w:r>
        <w:rPr>
          <w:rFonts w:ascii="Arial" w:hAnsi="Arial"/>
          <w:sz w:val="22"/>
        </w:rPr>
        <w:tab/>
        <w:t>4</w:t>
      </w:r>
    </w:p>
    <w:p>
      <w:pPr>
        <w:tabs>
          <w:tab w:pos="9014" w:val="right" w:leader="dot"/>
        </w:tabs>
        <w:spacing w:after="80"/>
        <w:ind w:left="0"/>
      </w:pPr>
      <w:r>
        <w:rPr>
          <w:rFonts w:ascii="Arial" w:hAnsi="Arial"/>
          <w:b/>
          <w:color w:val="1F3864"/>
          <w:sz w:val="22"/>
        </w:rPr>
        <w:t>7. Threat Landscape</w:t>
      </w:r>
      <w:r>
        <w:rPr>
          <w:rFonts w:ascii="Arial" w:hAnsi="Arial"/>
          <w:sz w:val="22"/>
        </w:rPr>
        <w:tab/>
        <w:t>5</w:t>
      </w:r>
    </w:p>
    <w:p>
      <w:pPr>
        <w:tabs>
          <w:tab w:pos="9014" w:val="right" w:leader="dot"/>
        </w:tabs>
        <w:spacing w:after="80"/>
        <w:ind w:left="0"/>
      </w:pPr>
      <w:r>
        <w:rPr>
          <w:rFonts w:ascii="Arial" w:hAnsi="Arial"/>
          <w:b/>
          <w:color w:val="1F3864"/>
          <w:sz w:val="22"/>
        </w:rPr>
        <w:t>8. Risk Assessment Results</w:t>
      </w:r>
      <w:r>
        <w:rPr>
          <w:rFonts w:ascii="Arial" w:hAnsi="Arial"/>
          <w:sz w:val="22"/>
        </w:rPr>
        <w:tab/>
        <w:t>5</w:t>
      </w:r>
    </w:p>
    <w:p>
      <w:pPr>
        <w:tabs>
          <w:tab w:pos="9014" w:val="right" w:leader="dot"/>
        </w:tabs>
        <w:spacing w:after="80"/>
        <w:ind w:left="340"/>
      </w:pPr>
      <w:r>
        <w:rPr>
          <w:rFonts w:ascii="Arial" w:hAnsi="Arial"/>
          <w:b w:val="0"/>
          <w:color w:val="333333"/>
          <w:sz w:val="21"/>
        </w:rPr>
        <w:t>8.1 Key Findings</w:t>
      </w:r>
      <w:r>
        <w:rPr>
          <w:rFonts w:ascii="Arial" w:hAnsi="Arial"/>
          <w:sz w:val="21"/>
        </w:rPr>
        <w:tab/>
        <w:t>6</w:t>
      </w:r>
    </w:p>
    <w:p>
      <w:pPr>
        <w:tabs>
          <w:tab w:pos="9014" w:val="right" w:leader="dot"/>
        </w:tabs>
        <w:spacing w:after="80"/>
        <w:ind w:left="0"/>
      </w:pPr>
      <w:r>
        <w:rPr>
          <w:rFonts w:ascii="Arial" w:hAnsi="Arial"/>
          <w:b/>
          <w:color w:val="1F3864"/>
          <w:sz w:val="22"/>
        </w:rPr>
        <w:t>9. Risk Treatment Plan</w:t>
      </w:r>
      <w:r>
        <w:rPr>
          <w:rFonts w:ascii="Arial" w:hAnsi="Arial"/>
          <w:sz w:val="22"/>
        </w:rPr>
        <w:tab/>
        <w:t>6</w:t>
      </w:r>
    </w:p>
    <w:p>
      <w:pPr>
        <w:tabs>
          <w:tab w:pos="9014" w:val="right" w:leader="dot"/>
        </w:tabs>
        <w:spacing w:after="80"/>
        <w:ind w:left="0"/>
      </w:pPr>
      <w:r>
        <w:rPr>
          <w:rFonts w:ascii="Arial" w:hAnsi="Arial"/>
          <w:b/>
          <w:color w:val="1F3864"/>
          <w:sz w:val="22"/>
        </w:rPr>
        <w:t>10. Key Recommendations</w:t>
      </w:r>
      <w:r>
        <w:rPr>
          <w:rFonts w:ascii="Arial" w:hAnsi="Arial"/>
          <w:sz w:val="22"/>
        </w:rPr>
        <w:tab/>
        <w:t>7</w:t>
      </w:r>
    </w:p>
    <w:p>
      <w:pPr>
        <w:tabs>
          <w:tab w:pos="9014" w:val="right" w:leader="dot"/>
        </w:tabs>
        <w:spacing w:after="80"/>
        <w:ind w:left="0"/>
      </w:pPr>
      <w:r>
        <w:rPr>
          <w:rFonts w:ascii="Arial" w:hAnsi="Arial"/>
          <w:b/>
          <w:color w:val="1F3864"/>
          <w:sz w:val="22"/>
        </w:rPr>
        <w:t>11. Conclusion</w:t>
      </w:r>
      <w:r>
        <w:rPr>
          <w:rFonts w:ascii="Arial" w:hAnsi="Arial"/>
          <w:sz w:val="22"/>
        </w:rPr>
        <w:tab/>
        <w:t>7</w:t>
      </w:r>
    </w:p>
    <w:p>
      <w:pPr>
        <w:tabs>
          <w:tab w:pos="9014" w:val="right" w:leader="dot"/>
        </w:tabs>
        <w:spacing w:after="80"/>
        <w:ind w:left="0"/>
      </w:pPr>
      <w:r>
        <w:rPr>
          <w:rFonts w:ascii="Arial" w:hAnsi="Arial"/>
          <w:b/>
          <w:color w:val="1F3864"/>
          <w:sz w:val="22"/>
        </w:rPr>
        <w:t>Appendix A: Related Documents</w:t>
      </w:r>
      <w:r>
        <w:rPr>
          <w:rFonts w:ascii="Arial" w:hAnsi="Arial"/>
          <w:sz w:val="22"/>
        </w:rPr>
        <w:tab/>
        <w:t>8</w:t>
      </w:r>
    </w:p>
    <w:p>
      <w:r>
        <w:br w:type="page"/>
      </w:r>
    </w:p>
    <w:p>
      <w:pPr>
        <w:pStyle w:val="Heading1"/>
      </w:pPr>
      <w:r>
        <w:t>1. Executive Summary</w:t>
      </w:r>
    </w:p>
    <w:p>
      <w:pPr>
        <w:spacing w:after="160"/>
        <w:jc w:val="both"/>
      </w:pPr>
      <w:r>
        <w:rPr>
          <w:b w:val="0"/>
          <w:i w:val="0"/>
          <w:sz w:val="22"/>
        </w:rPr>
        <w:t>This report presents the results of an enterprise information security risk assessment performed for AKFA Trading Group in accordance with ISO/IEC 27001:2022. The assessment identifies the organization’s critical information assets, evaluates the threats and vulnerabilities affecting them, scores the resulting risks, and defines a prioritized treatment plan to protect the confidentiality, integrity, and availability of information while improving business resilience.</w:t>
      </w:r>
    </w:p>
    <w:p>
      <w:pPr>
        <w:spacing w:after="160"/>
        <w:jc w:val="both"/>
      </w:pPr>
      <w:r>
        <w:rPr>
          <w:b w:val="0"/>
          <w:i w:val="0"/>
          <w:sz w:val="22"/>
        </w:rPr>
        <w:t>The assessment identified 18 information security risks, of which 11 were rated High, 6 Medium, and 1 Low. The most significant exposures relate to phishing and credential compromise, incomplete multi-factor authentication (MFA) coverage, absence of a formal patch management cycle, unverified backup recoverability, and the lack of privileged access management (PAM). A 12-action treatment plan has been defined, targeting completion of the highest-priority actions by Q2 2026.</w:t>
      </w:r>
    </w:p>
    <w:p>
      <w:pPr>
        <w:spacing w:after="160"/>
        <w:jc w:val="both"/>
      </w:pPr>
      <w:r>
        <w:rPr>
          <w:b w:val="0"/>
          <w:i w:val="0"/>
          <w:sz w:val="22"/>
        </w:rPr>
        <w:t>Management attention is requested for the approval of the treatment plan, allocation of budget for the PAM, EDR, and DLP initiatives, and endorsement of a group-wide security awareness program.</w:t>
      </w:r>
    </w:p>
    <w:p>
      <w:pPr>
        <w:pStyle w:val="Heading1"/>
      </w:pPr>
      <w:r>
        <w:t>2. Organization Overview</w:t>
      </w:r>
    </w:p>
    <w:p>
      <w:pPr>
        <w:spacing w:after="160"/>
        <w:jc w:val="both"/>
      </w:pPr>
      <w:r>
        <w:rPr>
          <w:b w:val="0"/>
          <w:i w:val="0"/>
          <w:sz w:val="22"/>
        </w:rPr>
        <w:t>AKFA Trading Group began operations in Saudi Arabia in 1991 and has since expanded into a diversified group covering contracting, food, fisheries, healthcare, transportation, logistics, and metal industries. This diversification means the group operates a heterogeneous IT landscape serving multiple business divisions, with shared core platforms (ERP, Microsoft 365, network and backup infrastructure) supporting operations across all sectors. A security incident affecting a shared platform would therefore have group-wide business impact, which raises the criticality of centralized security governance.</w:t>
      </w:r>
    </w:p>
    <w:p>
      <w:pPr>
        <w:pStyle w:val="Heading1"/>
      </w:pPr>
      <w:r>
        <w:t>3. Assessment Objectives</w:t>
      </w:r>
    </w:p>
    <w:p>
      <w:pPr>
        <w:pStyle w:val="ListBullet"/>
        <w:spacing w:after="80"/>
      </w:pPr>
      <w:r>
        <w:rPr>
          <w:b/>
          <w:sz w:val="22"/>
        </w:rPr>
        <w:t xml:space="preserve">Identify critical information assets </w:t>
      </w:r>
      <w:r>
        <w:rPr>
          <w:sz w:val="22"/>
        </w:rPr>
        <w:t>and their business owners across the group’s divisions.</w:t>
      </w:r>
    </w:p>
    <w:p>
      <w:pPr>
        <w:pStyle w:val="ListBullet"/>
        <w:spacing w:after="80"/>
      </w:pPr>
      <w:r>
        <w:rPr>
          <w:b/>
          <w:sz w:val="22"/>
        </w:rPr>
        <w:t xml:space="preserve">Assess threats and vulnerabilities </w:t>
      </w:r>
      <w:r>
        <w:rPr>
          <w:sz w:val="22"/>
        </w:rPr>
        <w:t>relevant to each asset, considering the current threat landscape in the region and sector.</w:t>
      </w:r>
    </w:p>
    <w:p>
      <w:pPr>
        <w:pStyle w:val="ListBullet"/>
        <w:spacing w:after="80"/>
      </w:pPr>
      <w:r>
        <w:rPr>
          <w:b/>
          <w:sz w:val="22"/>
        </w:rPr>
        <w:t xml:space="preserve">Evaluate existing controls </w:t>
      </w:r>
      <w:r>
        <w:rPr>
          <w:sz w:val="22"/>
        </w:rPr>
        <w:t>and determine residual exposure where controls are absent or immature.</w:t>
      </w:r>
    </w:p>
    <w:p>
      <w:pPr>
        <w:pStyle w:val="ListBullet"/>
        <w:spacing w:after="80"/>
      </w:pPr>
      <w:r>
        <w:rPr>
          <w:b/>
          <w:sz w:val="22"/>
        </w:rPr>
        <w:t xml:space="preserve">Recommend risk treatment actions </w:t>
      </w:r>
      <w:r>
        <w:rPr>
          <w:sz w:val="22"/>
        </w:rPr>
        <w:t>aligned with ISO/IEC 27001:2022 Annex A controls.</w:t>
      </w:r>
    </w:p>
    <w:p>
      <w:pPr>
        <w:pStyle w:val="ListBullet"/>
        <w:spacing w:after="80"/>
      </w:pPr>
      <w:r>
        <w:rPr>
          <w:b/>
          <w:sz w:val="22"/>
        </w:rPr>
        <w:t xml:space="preserve">Support business continuity </w:t>
      </w:r>
      <w:r>
        <w:rPr>
          <w:sz w:val="22"/>
        </w:rPr>
        <w:t>by identifying availability risks and recovery gaps.</w:t>
      </w:r>
    </w:p>
    <w:p>
      <w:pPr>
        <w:pStyle w:val="Heading1"/>
      </w:pPr>
      <w:r>
        <w:t>4. Scope</w:t>
      </w:r>
    </w:p>
    <w:p>
      <w:pPr>
        <w:spacing w:after="160"/>
        <w:jc w:val="both"/>
      </w:pPr>
      <w:r>
        <w:rPr>
          <w:b w:val="0"/>
          <w:i w:val="0"/>
          <w:sz w:val="22"/>
        </w:rPr>
        <w:t>The assessment covers the following systems and infrastructure: Microsoft 365 (email, SharePoint, OneDrive, Teams), the ERP system, Finance systems, HR systems, file servers, backup infrastructure, network infrastructure (firewalls, switches, VPN, WAN links), and employee endpoints. Operational technology (OT) in production facilities and physical security outside the server room are excluded from this cycle and recommended for a follow-up assessment.</w:t>
      </w:r>
    </w:p>
    <w:p>
      <w:pPr>
        <w:pStyle w:val="Heading1"/>
      </w:pPr>
      <w:r>
        <w:t>5. Risk Assessment Methodology</w:t>
      </w:r>
    </w:p>
    <w:p>
      <w:pPr>
        <w:spacing w:after="160"/>
        <w:jc w:val="both"/>
      </w:pPr>
      <w:r>
        <w:rPr>
          <w:b w:val="0"/>
          <w:i w:val="0"/>
          <w:sz w:val="22"/>
        </w:rPr>
        <w:t>Risks are assessed qualitatively using a 3×3 model. Each risk is scored as Risk Score = Likelihood (1–3) × Impact (1–3), where likelihood reflects the probability of the threat materializing within 12 months given current controls, and impact reflects the worst credible business consequence across financial, operational, regulatory, and reputational dimensions.</w:t>
      </w:r>
    </w:p>
    <w:p>
      <w:pPr>
        <w:pStyle w:val="Heading2"/>
      </w:pPr>
      <w:r>
        <w:t>5.1 Scoring Scales</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907"/>
            <w:shd w:val="clear" w:fill="1F3864"/>
            <w:vAlign w:val="center"/>
          </w:tcPr>
          <w:p>
            <w:pPr>
              <w:jc w:val="center"/>
            </w:pPr>
            <w:r/>
            <w:r>
              <w:rPr>
                <w:rFonts w:ascii="Arial" w:hAnsi="Arial"/>
                <w:b/>
                <w:color w:val="FFFFFF"/>
                <w:sz w:val="18"/>
              </w:rPr>
              <w:t>Level</w:t>
            </w:r>
          </w:p>
        </w:tc>
        <w:tc>
          <w:tcPr>
            <w:tcW w:type="dxa" w:w="3118"/>
            <w:shd w:val="clear" w:fill="1F3864"/>
            <w:vAlign w:val="center"/>
          </w:tcPr>
          <w:p>
            <w:pPr>
              <w:jc w:val="center"/>
            </w:pPr>
            <w:r/>
            <w:r>
              <w:rPr>
                <w:rFonts w:ascii="Arial" w:hAnsi="Arial"/>
                <w:b/>
                <w:color w:val="FFFFFF"/>
                <w:sz w:val="18"/>
              </w:rPr>
              <w:t>Likelihood</w:t>
            </w:r>
          </w:p>
        </w:tc>
        <w:tc>
          <w:tcPr>
            <w:tcW w:type="dxa" w:w="4989"/>
            <w:shd w:val="clear" w:fill="1F3864"/>
            <w:vAlign w:val="center"/>
          </w:tcPr>
          <w:p>
            <w:pPr>
              <w:jc w:val="center"/>
            </w:pPr>
            <w:r/>
            <w:r>
              <w:rPr>
                <w:rFonts w:ascii="Arial" w:hAnsi="Arial"/>
                <w:b/>
                <w:color w:val="FFFFFF"/>
                <w:sz w:val="18"/>
              </w:rPr>
              <w:t>Impact</w:t>
            </w:r>
          </w:p>
        </w:tc>
      </w:tr>
      <w:tr>
        <w:tc>
          <w:tcPr>
            <w:tcW w:type="dxa" w:w="907"/>
            <w:vAlign w:val="center"/>
          </w:tcPr>
          <w:p>
            <w:pPr>
              <w:jc w:val="center"/>
            </w:pPr>
            <w:r/>
            <w:r>
              <w:rPr>
                <w:rFonts w:ascii="Arial" w:hAnsi="Arial"/>
                <w:sz w:val="18"/>
              </w:rPr>
              <w:t>3</w:t>
            </w:r>
          </w:p>
        </w:tc>
        <w:tc>
          <w:tcPr>
            <w:tcW w:type="dxa" w:w="3118"/>
            <w:vAlign w:val="center"/>
          </w:tcPr>
          <w:p>
            <w:r/>
            <w:r>
              <w:rPr>
                <w:rFonts w:ascii="Arial" w:hAnsi="Arial"/>
                <w:sz w:val="18"/>
              </w:rPr>
              <w:t>Likely – expected to occur within 12 months</w:t>
            </w:r>
          </w:p>
        </w:tc>
        <w:tc>
          <w:tcPr>
            <w:tcW w:type="dxa" w:w="4989"/>
            <w:vAlign w:val="center"/>
          </w:tcPr>
          <w:p>
            <w:r/>
            <w:r>
              <w:rPr>
                <w:rFonts w:ascii="Arial" w:hAnsi="Arial"/>
                <w:sz w:val="18"/>
              </w:rPr>
              <w:t>Major – significant financial loss, group-wide disruption, regulatory breach, or major reputational damage</w:t>
            </w:r>
          </w:p>
        </w:tc>
      </w:tr>
      <w:tr>
        <w:tc>
          <w:tcPr>
            <w:tcW w:type="dxa" w:w="907"/>
            <w:shd w:val="clear" w:fill="F2F2F2"/>
            <w:vAlign w:val="center"/>
          </w:tcPr>
          <w:p>
            <w:pPr>
              <w:jc w:val="center"/>
            </w:pPr>
            <w:r/>
            <w:r>
              <w:rPr>
                <w:rFonts w:ascii="Arial" w:hAnsi="Arial"/>
                <w:sz w:val="18"/>
              </w:rPr>
              <w:t>2</w:t>
            </w:r>
          </w:p>
        </w:tc>
        <w:tc>
          <w:tcPr>
            <w:tcW w:type="dxa" w:w="3118"/>
            <w:shd w:val="clear" w:fill="F2F2F2"/>
            <w:vAlign w:val="center"/>
          </w:tcPr>
          <w:p>
            <w:r/>
            <w:r>
              <w:rPr>
                <w:rFonts w:ascii="Arial" w:hAnsi="Arial"/>
                <w:sz w:val="18"/>
              </w:rPr>
              <w:t>Possible – could occur within 12 months</w:t>
            </w:r>
          </w:p>
        </w:tc>
        <w:tc>
          <w:tcPr>
            <w:tcW w:type="dxa" w:w="4989"/>
            <w:shd w:val="clear" w:fill="F2F2F2"/>
            <w:vAlign w:val="center"/>
          </w:tcPr>
          <w:p>
            <w:r/>
            <w:r>
              <w:rPr>
                <w:rFonts w:ascii="Arial" w:hAnsi="Arial"/>
                <w:sz w:val="18"/>
              </w:rPr>
              <w:t>Moderate – limited financial loss or disruption confined to one division</w:t>
            </w:r>
          </w:p>
        </w:tc>
      </w:tr>
      <w:tr>
        <w:tc>
          <w:tcPr>
            <w:tcW w:type="dxa" w:w="907"/>
            <w:vAlign w:val="center"/>
          </w:tcPr>
          <w:p>
            <w:pPr>
              <w:jc w:val="center"/>
            </w:pPr>
            <w:r/>
            <w:r>
              <w:rPr>
                <w:rFonts w:ascii="Arial" w:hAnsi="Arial"/>
                <w:sz w:val="18"/>
              </w:rPr>
              <w:t>1</w:t>
            </w:r>
          </w:p>
        </w:tc>
        <w:tc>
          <w:tcPr>
            <w:tcW w:type="dxa" w:w="3118"/>
            <w:vAlign w:val="center"/>
          </w:tcPr>
          <w:p>
            <w:r/>
            <w:r>
              <w:rPr>
                <w:rFonts w:ascii="Arial" w:hAnsi="Arial"/>
                <w:sz w:val="18"/>
              </w:rPr>
              <w:t>Unlikely – not expected within 12 months</w:t>
            </w:r>
          </w:p>
        </w:tc>
        <w:tc>
          <w:tcPr>
            <w:tcW w:type="dxa" w:w="4989"/>
            <w:vAlign w:val="center"/>
          </w:tcPr>
          <w:p>
            <w:r/>
            <w:r>
              <w:rPr>
                <w:rFonts w:ascii="Arial" w:hAnsi="Arial"/>
                <w:sz w:val="18"/>
              </w:rPr>
              <w:t>Minor – negligible loss, easily absorbed</w:t>
            </w:r>
          </w:p>
        </w:tc>
      </w:tr>
    </w:tbl>
    <w:p>
      <w:pPr>
        <w:spacing w:after="200"/>
      </w:pPr>
    </w:p>
    <w:p>
      <w:pPr>
        <w:pStyle w:val="Heading2"/>
      </w:pPr>
      <w:r>
        <w:t>5.2 Risk Rating Bands</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1247"/>
            <w:shd w:val="clear" w:fill="1F3864"/>
            <w:vAlign w:val="center"/>
          </w:tcPr>
          <w:p>
            <w:pPr>
              <w:jc w:val="center"/>
            </w:pPr>
            <w:r/>
            <w:r>
              <w:rPr>
                <w:rFonts w:ascii="Arial" w:hAnsi="Arial"/>
                <w:b/>
                <w:color w:val="FFFFFF"/>
                <w:sz w:val="18"/>
              </w:rPr>
              <w:t>Score</w:t>
            </w:r>
          </w:p>
        </w:tc>
        <w:tc>
          <w:tcPr>
            <w:tcW w:type="dxa" w:w="1474"/>
            <w:shd w:val="clear" w:fill="1F3864"/>
            <w:vAlign w:val="center"/>
          </w:tcPr>
          <w:p>
            <w:pPr>
              <w:jc w:val="center"/>
            </w:pPr>
            <w:r/>
            <w:r>
              <w:rPr>
                <w:rFonts w:ascii="Arial" w:hAnsi="Arial"/>
                <w:b/>
                <w:color w:val="FFFFFF"/>
                <w:sz w:val="18"/>
              </w:rPr>
              <w:t>Rating</w:t>
            </w:r>
          </w:p>
        </w:tc>
        <w:tc>
          <w:tcPr>
            <w:tcW w:type="dxa" w:w="6293"/>
            <w:shd w:val="clear" w:fill="1F3864"/>
            <w:vAlign w:val="center"/>
          </w:tcPr>
          <w:p>
            <w:pPr>
              <w:jc w:val="center"/>
            </w:pPr>
            <w:r/>
            <w:r>
              <w:rPr>
                <w:rFonts w:ascii="Arial" w:hAnsi="Arial"/>
                <w:b/>
                <w:color w:val="FFFFFF"/>
                <w:sz w:val="18"/>
              </w:rPr>
              <w:t>Required Response</w:t>
            </w:r>
          </w:p>
        </w:tc>
      </w:tr>
      <w:tr>
        <w:tc>
          <w:tcPr>
            <w:tcW w:type="dxa" w:w="1247"/>
            <w:vAlign w:val="center"/>
          </w:tcPr>
          <w:p>
            <w:pPr>
              <w:jc w:val="center"/>
            </w:pPr>
            <w:r/>
            <w:r>
              <w:rPr>
                <w:rFonts w:ascii="Arial" w:hAnsi="Arial"/>
                <w:sz w:val="18"/>
              </w:rPr>
              <w:t>6 – 9</w:t>
            </w:r>
          </w:p>
        </w:tc>
        <w:tc>
          <w:tcPr>
            <w:tcW w:type="dxa" w:w="1474"/>
            <w:shd w:val="clear" w:fill="C00000"/>
            <w:vAlign w:val="center"/>
          </w:tcPr>
          <w:p>
            <w:pPr>
              <w:jc w:val="center"/>
            </w:pPr>
            <w:r/>
            <w:r>
              <w:rPr>
                <w:rFonts w:ascii="Arial" w:hAnsi="Arial"/>
                <w:b/>
                <w:color w:val="FFFFFF"/>
                <w:sz w:val="18"/>
              </w:rPr>
              <w:t>High</w:t>
            </w:r>
          </w:p>
        </w:tc>
        <w:tc>
          <w:tcPr>
            <w:tcW w:type="dxa" w:w="6293"/>
            <w:vAlign w:val="center"/>
          </w:tcPr>
          <w:p>
            <w:r/>
            <w:r>
              <w:rPr>
                <w:rFonts w:ascii="Arial" w:hAnsi="Arial"/>
                <w:sz w:val="18"/>
              </w:rPr>
              <w:t>Treatment mandatory; executive visibility; target dates within two quarters</w:t>
            </w:r>
          </w:p>
        </w:tc>
      </w:tr>
      <w:tr>
        <w:tc>
          <w:tcPr>
            <w:tcW w:type="dxa" w:w="1247"/>
            <w:shd w:val="clear" w:fill="F2F2F2"/>
            <w:vAlign w:val="center"/>
          </w:tcPr>
          <w:p>
            <w:pPr>
              <w:jc w:val="center"/>
            </w:pPr>
            <w:r/>
            <w:r>
              <w:rPr>
                <w:rFonts w:ascii="Arial" w:hAnsi="Arial"/>
                <w:sz w:val="18"/>
              </w:rPr>
              <w:t>3 – 4</w:t>
            </w:r>
          </w:p>
        </w:tc>
        <w:tc>
          <w:tcPr>
            <w:tcW w:type="dxa" w:w="1474"/>
            <w:shd w:val="clear" w:fill="FFD966"/>
            <w:vAlign w:val="center"/>
          </w:tcPr>
          <w:p>
            <w:pPr>
              <w:jc w:val="center"/>
            </w:pPr>
            <w:r/>
            <w:r>
              <w:rPr>
                <w:rFonts w:ascii="Arial" w:hAnsi="Arial"/>
                <w:b/>
                <w:sz w:val="18"/>
              </w:rPr>
              <w:t>Medium</w:t>
            </w:r>
          </w:p>
        </w:tc>
        <w:tc>
          <w:tcPr>
            <w:tcW w:type="dxa" w:w="6293"/>
            <w:shd w:val="clear" w:fill="F2F2F2"/>
            <w:vAlign w:val="center"/>
          </w:tcPr>
          <w:p>
            <w:r/>
            <w:r>
              <w:rPr>
                <w:rFonts w:ascii="Arial" w:hAnsi="Arial"/>
                <w:sz w:val="18"/>
              </w:rPr>
              <w:t>Treatment planned within the annual cycle; owner assigned</w:t>
            </w:r>
          </w:p>
        </w:tc>
      </w:tr>
      <w:tr>
        <w:tc>
          <w:tcPr>
            <w:tcW w:type="dxa" w:w="1247"/>
            <w:vAlign w:val="center"/>
          </w:tcPr>
          <w:p>
            <w:pPr>
              <w:jc w:val="center"/>
            </w:pPr>
            <w:r/>
            <w:r>
              <w:rPr>
                <w:rFonts w:ascii="Arial" w:hAnsi="Arial"/>
                <w:sz w:val="18"/>
              </w:rPr>
              <w:t>1 – 2</w:t>
            </w:r>
          </w:p>
        </w:tc>
        <w:tc>
          <w:tcPr>
            <w:tcW w:type="dxa" w:w="1474"/>
            <w:shd w:val="clear" w:fill="70AD47"/>
            <w:vAlign w:val="center"/>
          </w:tcPr>
          <w:p>
            <w:pPr>
              <w:jc w:val="center"/>
            </w:pPr>
            <w:r/>
            <w:r>
              <w:rPr>
                <w:rFonts w:ascii="Arial" w:hAnsi="Arial"/>
                <w:b/>
                <w:color w:val="FFFFFF"/>
                <w:sz w:val="18"/>
              </w:rPr>
              <w:t>Low</w:t>
            </w:r>
          </w:p>
        </w:tc>
        <w:tc>
          <w:tcPr>
            <w:tcW w:type="dxa" w:w="6293"/>
            <w:vAlign w:val="center"/>
          </w:tcPr>
          <w:p>
            <w:r/>
            <w:r>
              <w:rPr>
                <w:rFonts w:ascii="Arial" w:hAnsi="Arial"/>
                <w:sz w:val="18"/>
              </w:rPr>
              <w:t>Accept and monitor; review at next assessment</w:t>
            </w:r>
          </w:p>
        </w:tc>
      </w:tr>
    </w:tbl>
    <w:p>
      <w:pPr>
        <w:pStyle w:val="Heading1"/>
      </w:pPr>
      <w:r>
        <w:t>6. Critical Information Assets</w:t>
      </w:r>
    </w:p>
    <w:p>
      <w:pPr>
        <w:spacing w:after="160"/>
        <w:jc w:val="both"/>
      </w:pPr>
      <w:r>
        <w:rPr>
          <w:b w:val="0"/>
          <w:i w:val="0"/>
          <w:color w:val="595959"/>
          <w:sz w:val="22"/>
        </w:rPr>
        <w:t>Nine asset groups were identified as critical to group operations. Full CIA (Portfolio Case Studyity, Integrity, Availability) ratings are maintained in the accompanying risk register workbook.</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850"/>
            <w:shd w:val="clear" w:fill="1F3864"/>
            <w:vAlign w:val="center"/>
          </w:tcPr>
          <w:p>
            <w:pPr>
              <w:jc w:val="center"/>
            </w:pPr>
            <w:r/>
            <w:r>
              <w:rPr>
                <w:rFonts w:ascii="Arial" w:hAnsi="Arial"/>
                <w:b/>
                <w:color w:val="FFFFFF"/>
                <w:sz w:val="18"/>
              </w:rPr>
              <w:t>ID</w:t>
            </w:r>
          </w:p>
        </w:tc>
        <w:tc>
          <w:tcPr>
            <w:tcW w:type="dxa" w:w="2381"/>
            <w:shd w:val="clear" w:fill="1F3864"/>
            <w:vAlign w:val="center"/>
          </w:tcPr>
          <w:p>
            <w:pPr>
              <w:jc w:val="center"/>
            </w:pPr>
            <w:r/>
            <w:r>
              <w:rPr>
                <w:rFonts w:ascii="Arial" w:hAnsi="Arial"/>
                <w:b/>
                <w:color w:val="FFFFFF"/>
                <w:sz w:val="18"/>
              </w:rPr>
              <w:t>Asset</w:t>
            </w:r>
          </w:p>
        </w:tc>
        <w:tc>
          <w:tcPr>
            <w:tcW w:type="dxa" w:w="4252"/>
            <w:shd w:val="clear" w:fill="1F3864"/>
            <w:vAlign w:val="center"/>
          </w:tcPr>
          <w:p>
            <w:pPr>
              <w:jc w:val="center"/>
            </w:pPr>
            <w:r/>
            <w:r>
              <w:rPr>
                <w:rFonts w:ascii="Arial" w:hAnsi="Arial"/>
                <w:b/>
                <w:color w:val="FFFFFF"/>
                <w:sz w:val="18"/>
              </w:rPr>
              <w:t>Description</w:t>
            </w:r>
          </w:p>
        </w:tc>
        <w:tc>
          <w:tcPr>
            <w:tcW w:type="dxa" w:w="1531"/>
            <w:shd w:val="clear" w:fill="1F3864"/>
            <w:vAlign w:val="center"/>
          </w:tcPr>
          <w:p>
            <w:pPr>
              <w:jc w:val="center"/>
            </w:pPr>
            <w:r/>
            <w:r>
              <w:rPr>
                <w:rFonts w:ascii="Arial" w:hAnsi="Arial"/>
                <w:b/>
                <w:color w:val="FFFFFF"/>
                <w:sz w:val="18"/>
              </w:rPr>
              <w:t>Criticality</w:t>
            </w:r>
          </w:p>
        </w:tc>
      </w:tr>
      <w:tr>
        <w:tc>
          <w:tcPr>
            <w:tcW w:type="dxa" w:w="850"/>
            <w:vAlign w:val="center"/>
          </w:tcPr>
          <w:p>
            <w:pPr>
              <w:jc w:val="center"/>
            </w:pPr>
            <w:r/>
            <w:r>
              <w:rPr>
                <w:rFonts w:ascii="Arial" w:hAnsi="Arial"/>
                <w:sz w:val="18"/>
              </w:rPr>
              <w:t>A-01</w:t>
            </w:r>
          </w:p>
        </w:tc>
        <w:tc>
          <w:tcPr>
            <w:tcW w:type="dxa" w:w="2381"/>
            <w:vAlign w:val="center"/>
          </w:tcPr>
          <w:p>
            <w:r/>
            <w:r>
              <w:rPr>
                <w:rFonts w:ascii="Arial" w:hAnsi="Arial"/>
                <w:sz w:val="18"/>
              </w:rPr>
              <w:t>ERP System</w:t>
            </w:r>
          </w:p>
        </w:tc>
        <w:tc>
          <w:tcPr>
            <w:tcW w:type="dxa" w:w="4252"/>
            <w:vAlign w:val="center"/>
          </w:tcPr>
          <w:p>
            <w:r/>
            <w:r>
              <w:rPr>
                <w:rFonts w:ascii="Arial" w:hAnsi="Arial"/>
                <w:sz w:val="18"/>
              </w:rPr>
              <w:t>Core business transactions for all divisions</w:t>
            </w:r>
          </w:p>
        </w:tc>
        <w:tc>
          <w:tcPr>
            <w:tcW w:type="dxa" w:w="1531"/>
            <w:vAlign w:val="center"/>
          </w:tcPr>
          <w:p>
            <w:pPr>
              <w:jc w:val="center"/>
            </w:pPr>
            <w:r/>
            <w:r>
              <w:rPr>
                <w:rFonts w:ascii="Arial" w:hAnsi="Arial"/>
                <w:sz w:val="18"/>
              </w:rPr>
              <w:t>Critical</w:t>
            </w:r>
          </w:p>
        </w:tc>
      </w:tr>
      <w:tr>
        <w:tc>
          <w:tcPr>
            <w:tcW w:type="dxa" w:w="850"/>
            <w:shd w:val="clear" w:fill="F2F2F2"/>
            <w:vAlign w:val="center"/>
          </w:tcPr>
          <w:p>
            <w:pPr>
              <w:jc w:val="center"/>
            </w:pPr>
            <w:r/>
            <w:r>
              <w:rPr>
                <w:rFonts w:ascii="Arial" w:hAnsi="Arial"/>
                <w:sz w:val="18"/>
              </w:rPr>
              <w:t>A-02</w:t>
            </w:r>
          </w:p>
        </w:tc>
        <w:tc>
          <w:tcPr>
            <w:tcW w:type="dxa" w:w="2381"/>
            <w:shd w:val="clear" w:fill="F2F2F2"/>
            <w:vAlign w:val="center"/>
          </w:tcPr>
          <w:p>
            <w:r/>
            <w:r>
              <w:rPr>
                <w:rFonts w:ascii="Arial" w:hAnsi="Arial"/>
                <w:sz w:val="18"/>
              </w:rPr>
              <w:t>Financial Database</w:t>
            </w:r>
          </w:p>
        </w:tc>
        <w:tc>
          <w:tcPr>
            <w:tcW w:type="dxa" w:w="4252"/>
            <w:shd w:val="clear" w:fill="F2F2F2"/>
            <w:vAlign w:val="center"/>
          </w:tcPr>
          <w:p>
            <w:r/>
            <w:r>
              <w:rPr>
                <w:rFonts w:ascii="Arial" w:hAnsi="Arial"/>
                <w:sz w:val="18"/>
              </w:rPr>
              <w:t>GL, AP/AR, payroll, treasury</w:t>
            </w:r>
          </w:p>
        </w:tc>
        <w:tc>
          <w:tcPr>
            <w:tcW w:type="dxa" w:w="1531"/>
            <w:shd w:val="clear" w:fill="F2F2F2"/>
            <w:vAlign w:val="center"/>
          </w:tcPr>
          <w:p>
            <w:pPr>
              <w:jc w:val="center"/>
            </w:pPr>
            <w:r/>
            <w:r>
              <w:rPr>
                <w:rFonts w:ascii="Arial" w:hAnsi="Arial"/>
                <w:sz w:val="18"/>
              </w:rPr>
              <w:t>Critical</w:t>
            </w:r>
          </w:p>
        </w:tc>
      </w:tr>
      <w:tr>
        <w:tc>
          <w:tcPr>
            <w:tcW w:type="dxa" w:w="850"/>
            <w:vAlign w:val="center"/>
          </w:tcPr>
          <w:p>
            <w:pPr>
              <w:jc w:val="center"/>
            </w:pPr>
            <w:r/>
            <w:r>
              <w:rPr>
                <w:rFonts w:ascii="Arial" w:hAnsi="Arial"/>
                <w:sz w:val="18"/>
              </w:rPr>
              <w:t>A-03</w:t>
            </w:r>
          </w:p>
        </w:tc>
        <w:tc>
          <w:tcPr>
            <w:tcW w:type="dxa" w:w="2381"/>
            <w:vAlign w:val="center"/>
          </w:tcPr>
          <w:p>
            <w:r/>
            <w:r>
              <w:rPr>
                <w:rFonts w:ascii="Arial" w:hAnsi="Arial"/>
                <w:sz w:val="18"/>
              </w:rPr>
              <w:t>Customer Information</w:t>
            </w:r>
          </w:p>
        </w:tc>
        <w:tc>
          <w:tcPr>
            <w:tcW w:type="dxa" w:w="4252"/>
            <w:vAlign w:val="center"/>
          </w:tcPr>
          <w:p>
            <w:r/>
            <w:r>
              <w:rPr>
                <w:rFonts w:ascii="Arial" w:hAnsi="Arial"/>
                <w:sz w:val="18"/>
              </w:rPr>
              <w:t>Customer master data, contracts, PII</w:t>
            </w:r>
          </w:p>
        </w:tc>
        <w:tc>
          <w:tcPr>
            <w:tcW w:type="dxa" w:w="1531"/>
            <w:vAlign w:val="center"/>
          </w:tcPr>
          <w:p>
            <w:pPr>
              <w:jc w:val="center"/>
            </w:pPr>
            <w:r/>
            <w:r>
              <w:rPr>
                <w:rFonts w:ascii="Arial" w:hAnsi="Arial"/>
                <w:sz w:val="18"/>
              </w:rPr>
              <w:t>Critical</w:t>
            </w:r>
          </w:p>
        </w:tc>
      </w:tr>
      <w:tr>
        <w:tc>
          <w:tcPr>
            <w:tcW w:type="dxa" w:w="850"/>
            <w:shd w:val="clear" w:fill="F2F2F2"/>
            <w:vAlign w:val="center"/>
          </w:tcPr>
          <w:p>
            <w:pPr>
              <w:jc w:val="center"/>
            </w:pPr>
            <w:r/>
            <w:r>
              <w:rPr>
                <w:rFonts w:ascii="Arial" w:hAnsi="Arial"/>
                <w:sz w:val="18"/>
              </w:rPr>
              <w:t>A-04</w:t>
            </w:r>
          </w:p>
        </w:tc>
        <w:tc>
          <w:tcPr>
            <w:tcW w:type="dxa" w:w="2381"/>
            <w:shd w:val="clear" w:fill="F2F2F2"/>
            <w:vAlign w:val="center"/>
          </w:tcPr>
          <w:p>
            <w:r/>
            <w:r>
              <w:rPr>
                <w:rFonts w:ascii="Arial" w:hAnsi="Arial"/>
                <w:sz w:val="18"/>
              </w:rPr>
              <w:t>HR Records</w:t>
            </w:r>
          </w:p>
        </w:tc>
        <w:tc>
          <w:tcPr>
            <w:tcW w:type="dxa" w:w="4252"/>
            <w:shd w:val="clear" w:fill="F2F2F2"/>
            <w:vAlign w:val="center"/>
          </w:tcPr>
          <w:p>
            <w:r/>
            <w:r>
              <w:rPr>
                <w:rFonts w:ascii="Arial" w:hAnsi="Arial"/>
                <w:sz w:val="18"/>
              </w:rPr>
              <w:t>Employee PII and payroll (PDPL-regulated)</w:t>
            </w:r>
          </w:p>
        </w:tc>
        <w:tc>
          <w:tcPr>
            <w:tcW w:type="dxa" w:w="1531"/>
            <w:shd w:val="clear" w:fill="F2F2F2"/>
            <w:vAlign w:val="center"/>
          </w:tcPr>
          <w:p>
            <w:pPr>
              <w:jc w:val="center"/>
            </w:pPr>
            <w:r/>
            <w:r>
              <w:rPr>
                <w:rFonts w:ascii="Arial" w:hAnsi="Arial"/>
                <w:sz w:val="18"/>
              </w:rPr>
              <w:t>Critical</w:t>
            </w:r>
          </w:p>
        </w:tc>
      </w:tr>
      <w:tr>
        <w:tc>
          <w:tcPr>
            <w:tcW w:type="dxa" w:w="850"/>
            <w:vAlign w:val="center"/>
          </w:tcPr>
          <w:p>
            <w:pPr>
              <w:jc w:val="center"/>
            </w:pPr>
            <w:r/>
            <w:r>
              <w:rPr>
                <w:rFonts w:ascii="Arial" w:hAnsi="Arial"/>
                <w:sz w:val="18"/>
              </w:rPr>
              <w:t>A-05</w:t>
            </w:r>
          </w:p>
        </w:tc>
        <w:tc>
          <w:tcPr>
            <w:tcW w:type="dxa" w:w="2381"/>
            <w:vAlign w:val="center"/>
          </w:tcPr>
          <w:p>
            <w:r/>
            <w:r>
              <w:rPr>
                <w:rFonts w:ascii="Arial" w:hAnsi="Arial"/>
                <w:sz w:val="18"/>
              </w:rPr>
              <w:t>Microsoft 365</w:t>
            </w:r>
          </w:p>
        </w:tc>
        <w:tc>
          <w:tcPr>
            <w:tcW w:type="dxa" w:w="4252"/>
            <w:vAlign w:val="center"/>
          </w:tcPr>
          <w:p>
            <w:r/>
            <w:r>
              <w:rPr>
                <w:rFonts w:ascii="Arial" w:hAnsi="Arial"/>
                <w:sz w:val="18"/>
              </w:rPr>
              <w:t>Email and collaboration platform</w:t>
            </w:r>
          </w:p>
        </w:tc>
        <w:tc>
          <w:tcPr>
            <w:tcW w:type="dxa" w:w="1531"/>
            <w:vAlign w:val="center"/>
          </w:tcPr>
          <w:p>
            <w:pPr>
              <w:jc w:val="center"/>
            </w:pPr>
            <w:r/>
            <w:r>
              <w:rPr>
                <w:rFonts w:ascii="Arial" w:hAnsi="Arial"/>
                <w:sz w:val="18"/>
              </w:rPr>
              <w:t>High</w:t>
            </w:r>
          </w:p>
        </w:tc>
      </w:tr>
      <w:tr>
        <w:tc>
          <w:tcPr>
            <w:tcW w:type="dxa" w:w="850"/>
            <w:shd w:val="clear" w:fill="F2F2F2"/>
            <w:vAlign w:val="center"/>
          </w:tcPr>
          <w:p>
            <w:pPr>
              <w:jc w:val="center"/>
            </w:pPr>
            <w:r/>
            <w:r>
              <w:rPr>
                <w:rFonts w:ascii="Arial" w:hAnsi="Arial"/>
                <w:sz w:val="18"/>
              </w:rPr>
              <w:t>A-06</w:t>
            </w:r>
          </w:p>
        </w:tc>
        <w:tc>
          <w:tcPr>
            <w:tcW w:type="dxa" w:w="2381"/>
            <w:shd w:val="clear" w:fill="F2F2F2"/>
            <w:vAlign w:val="center"/>
          </w:tcPr>
          <w:p>
            <w:r/>
            <w:r>
              <w:rPr>
                <w:rFonts w:ascii="Arial" w:hAnsi="Arial"/>
                <w:sz w:val="18"/>
              </w:rPr>
              <w:t>File Server</w:t>
            </w:r>
          </w:p>
        </w:tc>
        <w:tc>
          <w:tcPr>
            <w:tcW w:type="dxa" w:w="4252"/>
            <w:shd w:val="clear" w:fill="F2F2F2"/>
            <w:vAlign w:val="center"/>
          </w:tcPr>
          <w:p>
            <w:r/>
            <w:r>
              <w:rPr>
                <w:rFonts w:ascii="Arial" w:hAnsi="Arial"/>
                <w:sz w:val="18"/>
              </w:rPr>
              <w:t>Departmental shares and project files</w:t>
            </w:r>
          </w:p>
        </w:tc>
        <w:tc>
          <w:tcPr>
            <w:tcW w:type="dxa" w:w="1531"/>
            <w:shd w:val="clear" w:fill="F2F2F2"/>
            <w:vAlign w:val="center"/>
          </w:tcPr>
          <w:p>
            <w:pPr>
              <w:jc w:val="center"/>
            </w:pPr>
            <w:r/>
            <w:r>
              <w:rPr>
                <w:rFonts w:ascii="Arial" w:hAnsi="Arial"/>
                <w:sz w:val="18"/>
              </w:rPr>
              <w:t>High</w:t>
            </w:r>
          </w:p>
        </w:tc>
      </w:tr>
      <w:tr>
        <w:tc>
          <w:tcPr>
            <w:tcW w:type="dxa" w:w="850"/>
            <w:vAlign w:val="center"/>
          </w:tcPr>
          <w:p>
            <w:pPr>
              <w:jc w:val="center"/>
            </w:pPr>
            <w:r/>
            <w:r>
              <w:rPr>
                <w:rFonts w:ascii="Arial" w:hAnsi="Arial"/>
                <w:sz w:val="18"/>
              </w:rPr>
              <w:t>A-07</w:t>
            </w:r>
          </w:p>
        </w:tc>
        <w:tc>
          <w:tcPr>
            <w:tcW w:type="dxa" w:w="2381"/>
            <w:vAlign w:val="center"/>
          </w:tcPr>
          <w:p>
            <w:r/>
            <w:r>
              <w:rPr>
                <w:rFonts w:ascii="Arial" w:hAnsi="Arial"/>
                <w:sz w:val="18"/>
              </w:rPr>
              <w:t>Backup Server</w:t>
            </w:r>
          </w:p>
        </w:tc>
        <w:tc>
          <w:tcPr>
            <w:tcW w:type="dxa" w:w="4252"/>
            <w:vAlign w:val="center"/>
          </w:tcPr>
          <w:p>
            <w:r/>
            <w:r>
              <w:rPr>
                <w:rFonts w:ascii="Arial" w:hAnsi="Arial"/>
                <w:sz w:val="18"/>
              </w:rPr>
              <w:t>Backup repository for all core systems</w:t>
            </w:r>
          </w:p>
        </w:tc>
        <w:tc>
          <w:tcPr>
            <w:tcW w:type="dxa" w:w="1531"/>
            <w:vAlign w:val="center"/>
          </w:tcPr>
          <w:p>
            <w:pPr>
              <w:jc w:val="center"/>
            </w:pPr>
            <w:r/>
            <w:r>
              <w:rPr>
                <w:rFonts w:ascii="Arial" w:hAnsi="Arial"/>
                <w:sz w:val="18"/>
              </w:rPr>
              <w:t>Critical</w:t>
            </w:r>
          </w:p>
        </w:tc>
      </w:tr>
      <w:tr>
        <w:tc>
          <w:tcPr>
            <w:tcW w:type="dxa" w:w="850"/>
            <w:shd w:val="clear" w:fill="F2F2F2"/>
            <w:vAlign w:val="center"/>
          </w:tcPr>
          <w:p>
            <w:pPr>
              <w:jc w:val="center"/>
            </w:pPr>
            <w:r/>
            <w:r>
              <w:rPr>
                <w:rFonts w:ascii="Arial" w:hAnsi="Arial"/>
                <w:sz w:val="18"/>
              </w:rPr>
              <w:t>A-08</w:t>
            </w:r>
          </w:p>
        </w:tc>
        <w:tc>
          <w:tcPr>
            <w:tcW w:type="dxa" w:w="2381"/>
            <w:shd w:val="clear" w:fill="F2F2F2"/>
            <w:vAlign w:val="center"/>
          </w:tcPr>
          <w:p>
            <w:r/>
            <w:r>
              <w:rPr>
                <w:rFonts w:ascii="Arial" w:hAnsi="Arial"/>
                <w:sz w:val="18"/>
              </w:rPr>
              <w:t>Network Infrastructure</w:t>
            </w:r>
          </w:p>
        </w:tc>
        <w:tc>
          <w:tcPr>
            <w:tcW w:type="dxa" w:w="4252"/>
            <w:shd w:val="clear" w:fill="F2F2F2"/>
            <w:vAlign w:val="center"/>
          </w:tcPr>
          <w:p>
            <w:r/>
            <w:r>
              <w:rPr>
                <w:rFonts w:ascii="Arial" w:hAnsi="Arial"/>
                <w:sz w:val="18"/>
              </w:rPr>
              <w:t>Core switches, firewalls, VPN, WAN</w:t>
            </w:r>
          </w:p>
        </w:tc>
        <w:tc>
          <w:tcPr>
            <w:tcW w:type="dxa" w:w="1531"/>
            <w:shd w:val="clear" w:fill="F2F2F2"/>
            <w:vAlign w:val="center"/>
          </w:tcPr>
          <w:p>
            <w:pPr>
              <w:jc w:val="center"/>
            </w:pPr>
            <w:r/>
            <w:r>
              <w:rPr>
                <w:rFonts w:ascii="Arial" w:hAnsi="Arial"/>
                <w:sz w:val="18"/>
              </w:rPr>
              <w:t>High</w:t>
            </w:r>
          </w:p>
        </w:tc>
      </w:tr>
      <w:tr>
        <w:tc>
          <w:tcPr>
            <w:tcW w:type="dxa" w:w="850"/>
            <w:vAlign w:val="center"/>
          </w:tcPr>
          <w:p>
            <w:pPr>
              <w:jc w:val="center"/>
            </w:pPr>
            <w:r/>
            <w:r>
              <w:rPr>
                <w:rFonts w:ascii="Arial" w:hAnsi="Arial"/>
                <w:sz w:val="18"/>
              </w:rPr>
              <w:t>A-09</w:t>
            </w:r>
          </w:p>
        </w:tc>
        <w:tc>
          <w:tcPr>
            <w:tcW w:type="dxa" w:w="2381"/>
            <w:vAlign w:val="center"/>
          </w:tcPr>
          <w:p>
            <w:r/>
            <w:r>
              <w:rPr>
                <w:rFonts w:ascii="Arial" w:hAnsi="Arial"/>
                <w:sz w:val="18"/>
              </w:rPr>
              <w:t>Employee Endpoints</w:t>
            </w:r>
          </w:p>
        </w:tc>
        <w:tc>
          <w:tcPr>
            <w:tcW w:type="dxa" w:w="4252"/>
            <w:vAlign w:val="center"/>
          </w:tcPr>
          <w:p>
            <w:r/>
            <w:r>
              <w:rPr>
                <w:rFonts w:ascii="Arial" w:hAnsi="Arial"/>
                <w:sz w:val="18"/>
              </w:rPr>
              <w:t>Laptops and desktops group-wide</w:t>
            </w:r>
          </w:p>
        </w:tc>
        <w:tc>
          <w:tcPr>
            <w:tcW w:type="dxa" w:w="1531"/>
            <w:vAlign w:val="center"/>
          </w:tcPr>
          <w:p>
            <w:pPr>
              <w:jc w:val="center"/>
            </w:pPr>
            <w:r/>
            <w:r>
              <w:rPr>
                <w:rFonts w:ascii="Arial" w:hAnsi="Arial"/>
                <w:sz w:val="18"/>
              </w:rPr>
              <w:t>Medium</w:t>
            </w:r>
          </w:p>
        </w:tc>
      </w:tr>
    </w:tbl>
    <w:p>
      <w:pPr>
        <w:pStyle w:val="Heading1"/>
      </w:pPr>
      <w:r>
        <w:t>7. Threat Landscape</w:t>
      </w:r>
    </w:p>
    <w:p>
      <w:pPr>
        <w:spacing w:after="160"/>
        <w:jc w:val="both"/>
      </w:pPr>
      <w:r>
        <w:rPr>
          <w:b w:val="0"/>
          <w:i w:val="0"/>
          <w:sz w:val="22"/>
        </w:rPr>
        <w:t>The threat profile reflects both the global threat environment and factors specific to a diversified Saudi trading group: high phishing volumes targeting Gulf-region enterprises, ransomware groups targeting mid-market companies with immature backup practices, invoice fraud exploiting trading and logistics payment flows, insider risk inherent in a large distributed workforce, and supply chain exposure from the group’s extensive vendor ecosystem. Regulatory exposure includes the Saudi Personal Data Protection Law (PDPL) for customer and employee PII.</w:t>
      </w:r>
    </w:p>
    <w:p>
      <w:pPr>
        <w:pStyle w:val="Heading1"/>
      </w:pPr>
      <w:r>
        <w:t>8. Risk Assessment Results</w:t>
      </w:r>
    </w:p>
    <w:p>
      <w:pPr>
        <w:spacing w:after="160"/>
        <w:jc w:val="both"/>
      </w:pPr>
      <w:r>
        <w:rPr>
          <w:b w:val="0"/>
          <w:i w:val="0"/>
          <w:sz w:val="22"/>
        </w:rPr>
        <w:t>Eighteen risks were identified and scored. The table below summarizes the inherent risk position, sorted by severity. Full detail — including vulnerabilities, existing controls, recommended controls, ISO 27001 Annex A mappings, owners, and residual risk — is maintained in the accompanying risk register workbook (AKFA_Risk_Register.xlsx).</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737"/>
            <w:shd w:val="clear" w:fill="1F3864"/>
            <w:vAlign w:val="center"/>
          </w:tcPr>
          <w:p>
            <w:pPr>
              <w:jc w:val="center"/>
            </w:pPr>
            <w:r/>
            <w:r>
              <w:rPr>
                <w:rFonts w:ascii="Arial" w:hAnsi="Arial"/>
                <w:b/>
                <w:color w:val="FFFFFF"/>
                <w:sz w:val="18"/>
              </w:rPr>
              <w:t>ID</w:t>
            </w:r>
          </w:p>
        </w:tc>
        <w:tc>
          <w:tcPr>
            <w:tcW w:type="dxa" w:w="3402"/>
            <w:shd w:val="clear" w:fill="1F3864"/>
            <w:vAlign w:val="center"/>
          </w:tcPr>
          <w:p>
            <w:pPr>
              <w:jc w:val="center"/>
            </w:pPr>
            <w:r/>
            <w:r>
              <w:rPr>
                <w:rFonts w:ascii="Arial" w:hAnsi="Arial"/>
                <w:b/>
                <w:color w:val="FFFFFF"/>
                <w:sz w:val="18"/>
              </w:rPr>
              <w:t>Risk</w:t>
            </w:r>
          </w:p>
        </w:tc>
        <w:tc>
          <w:tcPr>
            <w:tcW w:type="dxa" w:w="2665"/>
            <w:shd w:val="clear" w:fill="1F3864"/>
            <w:vAlign w:val="center"/>
          </w:tcPr>
          <w:p>
            <w:pPr>
              <w:jc w:val="center"/>
            </w:pPr>
            <w:r/>
            <w:r>
              <w:rPr>
                <w:rFonts w:ascii="Arial" w:hAnsi="Arial"/>
                <w:b/>
                <w:color w:val="FFFFFF"/>
                <w:sz w:val="18"/>
              </w:rPr>
              <w:t>Affected Asset(s)</w:t>
            </w:r>
          </w:p>
        </w:tc>
        <w:tc>
          <w:tcPr>
            <w:tcW w:type="dxa" w:w="510"/>
            <w:shd w:val="clear" w:fill="1F3864"/>
            <w:vAlign w:val="center"/>
          </w:tcPr>
          <w:p>
            <w:pPr>
              <w:jc w:val="center"/>
            </w:pPr>
            <w:r/>
            <w:r>
              <w:rPr>
                <w:rFonts w:ascii="Arial" w:hAnsi="Arial"/>
                <w:b/>
                <w:color w:val="FFFFFF"/>
                <w:sz w:val="18"/>
              </w:rPr>
              <w:t>L</w:t>
            </w:r>
          </w:p>
        </w:tc>
        <w:tc>
          <w:tcPr>
            <w:tcW w:type="dxa" w:w="510"/>
            <w:shd w:val="clear" w:fill="1F3864"/>
            <w:vAlign w:val="center"/>
          </w:tcPr>
          <w:p>
            <w:pPr>
              <w:jc w:val="center"/>
            </w:pPr>
            <w:r/>
            <w:r>
              <w:rPr>
                <w:rFonts w:ascii="Arial" w:hAnsi="Arial"/>
                <w:b/>
                <w:color w:val="FFFFFF"/>
                <w:sz w:val="18"/>
              </w:rPr>
              <w:t>I</w:t>
            </w:r>
          </w:p>
        </w:tc>
        <w:tc>
          <w:tcPr>
            <w:tcW w:type="dxa" w:w="1191"/>
            <w:shd w:val="clear" w:fill="1F3864"/>
            <w:vAlign w:val="center"/>
          </w:tcPr>
          <w:p>
            <w:pPr>
              <w:jc w:val="center"/>
            </w:pPr>
            <w:r/>
            <w:r>
              <w:rPr>
                <w:rFonts w:ascii="Arial" w:hAnsi="Arial"/>
                <w:b/>
                <w:color w:val="FFFFFF"/>
                <w:sz w:val="18"/>
              </w:rPr>
              <w:t>Rating</w:t>
            </w:r>
          </w:p>
        </w:tc>
      </w:tr>
      <w:tr>
        <w:tc>
          <w:tcPr>
            <w:tcW w:type="dxa" w:w="737"/>
            <w:vAlign w:val="center"/>
          </w:tcPr>
          <w:p>
            <w:pPr>
              <w:jc w:val="center"/>
            </w:pPr>
            <w:r/>
            <w:r>
              <w:rPr>
                <w:rFonts w:ascii="Arial" w:hAnsi="Arial"/>
                <w:sz w:val="18"/>
              </w:rPr>
              <w:t>R-01</w:t>
            </w:r>
          </w:p>
        </w:tc>
        <w:tc>
          <w:tcPr>
            <w:tcW w:type="dxa" w:w="3402"/>
            <w:vAlign w:val="center"/>
          </w:tcPr>
          <w:p>
            <w:r/>
            <w:r>
              <w:rPr>
                <w:rFonts w:ascii="Arial" w:hAnsi="Arial"/>
                <w:sz w:val="18"/>
              </w:rPr>
              <w:t>Phishing &amp; credential harvesting</w:t>
            </w:r>
          </w:p>
        </w:tc>
        <w:tc>
          <w:tcPr>
            <w:tcW w:type="dxa" w:w="2665"/>
            <w:vAlign w:val="center"/>
          </w:tcPr>
          <w:p>
            <w:r/>
            <w:r>
              <w:rPr>
                <w:rFonts w:ascii="Arial" w:hAnsi="Arial"/>
                <w:sz w:val="18"/>
              </w:rPr>
              <w:t>Microsoft 365 / Email</w:t>
            </w:r>
          </w:p>
        </w:tc>
        <w:tc>
          <w:tcPr>
            <w:tcW w:type="dxa" w:w="510"/>
            <w:vAlign w:val="center"/>
          </w:tcPr>
          <w:p>
            <w:pPr>
              <w:jc w:val="center"/>
            </w:pPr>
            <w:r/>
            <w:r>
              <w:rPr>
                <w:rFonts w:ascii="Arial" w:hAnsi="Arial"/>
                <w:sz w:val="18"/>
              </w:rPr>
              <w:t>3</w:t>
            </w:r>
          </w:p>
        </w:tc>
        <w:tc>
          <w:tcPr>
            <w:tcW w:type="dxa" w:w="510"/>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shd w:val="clear" w:fill="F2F2F2"/>
            <w:vAlign w:val="center"/>
          </w:tcPr>
          <w:p>
            <w:pPr>
              <w:jc w:val="center"/>
            </w:pPr>
            <w:r/>
            <w:r>
              <w:rPr>
                <w:rFonts w:ascii="Arial" w:hAnsi="Arial"/>
                <w:sz w:val="18"/>
              </w:rPr>
              <w:t>R-05</w:t>
            </w:r>
          </w:p>
        </w:tc>
        <w:tc>
          <w:tcPr>
            <w:tcW w:type="dxa" w:w="3402"/>
            <w:shd w:val="clear" w:fill="F2F2F2"/>
            <w:vAlign w:val="center"/>
          </w:tcPr>
          <w:p>
            <w:r/>
            <w:r>
              <w:rPr>
                <w:rFonts w:ascii="Arial" w:hAnsi="Arial"/>
                <w:sz w:val="18"/>
              </w:rPr>
              <w:t>Unauthorized account access (MFA gaps)</w:t>
            </w:r>
          </w:p>
        </w:tc>
        <w:tc>
          <w:tcPr>
            <w:tcW w:type="dxa" w:w="2665"/>
            <w:shd w:val="clear" w:fill="F2F2F2"/>
            <w:vAlign w:val="center"/>
          </w:tcPr>
          <w:p>
            <w:r/>
            <w:r>
              <w:rPr>
                <w:rFonts w:ascii="Arial" w:hAnsi="Arial"/>
                <w:sz w:val="18"/>
              </w:rPr>
              <w:t>Microsoft 365</w:t>
            </w:r>
          </w:p>
        </w:tc>
        <w:tc>
          <w:tcPr>
            <w:tcW w:type="dxa" w:w="510"/>
            <w:shd w:val="clear" w:fill="F2F2F2"/>
            <w:vAlign w:val="center"/>
          </w:tcPr>
          <w:p>
            <w:pPr>
              <w:jc w:val="center"/>
            </w:pPr>
            <w:r/>
            <w:r>
              <w:rPr>
                <w:rFonts w:ascii="Arial" w:hAnsi="Arial"/>
                <w:sz w:val="18"/>
              </w:rPr>
              <w:t>3</w:t>
            </w:r>
          </w:p>
        </w:tc>
        <w:tc>
          <w:tcPr>
            <w:tcW w:type="dxa" w:w="510"/>
            <w:shd w:val="clear" w:fill="F2F2F2"/>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vAlign w:val="center"/>
          </w:tcPr>
          <w:p>
            <w:pPr>
              <w:jc w:val="center"/>
            </w:pPr>
            <w:r/>
            <w:r>
              <w:rPr>
                <w:rFonts w:ascii="Arial" w:hAnsi="Arial"/>
                <w:sz w:val="18"/>
              </w:rPr>
              <w:t>R-06</w:t>
            </w:r>
          </w:p>
        </w:tc>
        <w:tc>
          <w:tcPr>
            <w:tcW w:type="dxa" w:w="3402"/>
            <w:vAlign w:val="center"/>
          </w:tcPr>
          <w:p>
            <w:r/>
            <w:r>
              <w:rPr>
                <w:rFonts w:ascii="Arial" w:hAnsi="Arial"/>
                <w:sz w:val="18"/>
              </w:rPr>
              <w:t>Exploitation of unpatched vulnerabilities</w:t>
            </w:r>
          </w:p>
        </w:tc>
        <w:tc>
          <w:tcPr>
            <w:tcW w:type="dxa" w:w="2665"/>
            <w:vAlign w:val="center"/>
          </w:tcPr>
          <w:p>
            <w:r/>
            <w:r>
              <w:rPr>
                <w:rFonts w:ascii="Arial" w:hAnsi="Arial"/>
                <w:sz w:val="18"/>
              </w:rPr>
              <w:t>ERP / Servers</w:t>
            </w:r>
          </w:p>
        </w:tc>
        <w:tc>
          <w:tcPr>
            <w:tcW w:type="dxa" w:w="510"/>
            <w:vAlign w:val="center"/>
          </w:tcPr>
          <w:p>
            <w:pPr>
              <w:jc w:val="center"/>
            </w:pPr>
            <w:r/>
            <w:r>
              <w:rPr>
                <w:rFonts w:ascii="Arial" w:hAnsi="Arial"/>
                <w:sz w:val="18"/>
              </w:rPr>
              <w:t>3</w:t>
            </w:r>
          </w:p>
        </w:tc>
        <w:tc>
          <w:tcPr>
            <w:tcW w:type="dxa" w:w="510"/>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shd w:val="clear" w:fill="F2F2F2"/>
            <w:vAlign w:val="center"/>
          </w:tcPr>
          <w:p>
            <w:pPr>
              <w:jc w:val="center"/>
            </w:pPr>
            <w:r/>
            <w:r>
              <w:rPr>
                <w:rFonts w:ascii="Arial" w:hAnsi="Arial"/>
                <w:sz w:val="18"/>
              </w:rPr>
              <w:t>R-02</w:t>
            </w:r>
          </w:p>
        </w:tc>
        <w:tc>
          <w:tcPr>
            <w:tcW w:type="dxa" w:w="3402"/>
            <w:shd w:val="clear" w:fill="F2F2F2"/>
            <w:vAlign w:val="center"/>
          </w:tcPr>
          <w:p>
            <w:r/>
            <w:r>
              <w:rPr>
                <w:rFonts w:ascii="Arial" w:hAnsi="Arial"/>
                <w:sz w:val="18"/>
              </w:rPr>
              <w:t>Ransomware attack</w:t>
            </w:r>
          </w:p>
        </w:tc>
        <w:tc>
          <w:tcPr>
            <w:tcW w:type="dxa" w:w="2665"/>
            <w:shd w:val="clear" w:fill="F2F2F2"/>
            <w:vAlign w:val="center"/>
          </w:tcPr>
          <w:p>
            <w:r/>
            <w:r>
              <w:rPr>
                <w:rFonts w:ascii="Arial" w:hAnsi="Arial"/>
                <w:sz w:val="18"/>
              </w:rPr>
              <w:t>ERP / File Server / Backups</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vAlign w:val="center"/>
          </w:tcPr>
          <w:p>
            <w:pPr>
              <w:jc w:val="center"/>
            </w:pPr>
            <w:r/>
            <w:r>
              <w:rPr>
                <w:rFonts w:ascii="Arial" w:hAnsi="Arial"/>
                <w:sz w:val="18"/>
              </w:rPr>
              <w:t>R-03</w:t>
            </w:r>
          </w:p>
        </w:tc>
        <w:tc>
          <w:tcPr>
            <w:tcW w:type="dxa" w:w="3402"/>
            <w:vAlign w:val="center"/>
          </w:tcPr>
          <w:p>
            <w:r/>
            <w:r>
              <w:rPr>
                <w:rFonts w:ascii="Arial" w:hAnsi="Arial"/>
                <w:sz w:val="18"/>
              </w:rPr>
              <w:t>Business email compromise / invoice fraud</w:t>
            </w:r>
          </w:p>
        </w:tc>
        <w:tc>
          <w:tcPr>
            <w:tcW w:type="dxa" w:w="2665"/>
            <w:vAlign w:val="center"/>
          </w:tcPr>
          <w:p>
            <w:r/>
            <w:r>
              <w:rPr>
                <w:rFonts w:ascii="Arial" w:hAnsi="Arial"/>
                <w:sz w:val="18"/>
              </w:rPr>
              <w:t>Financial Database</w:t>
            </w:r>
          </w:p>
        </w:tc>
        <w:tc>
          <w:tcPr>
            <w:tcW w:type="dxa" w:w="510"/>
            <w:vAlign w:val="center"/>
          </w:tcPr>
          <w:p>
            <w:pPr>
              <w:jc w:val="center"/>
            </w:pPr>
            <w:r/>
            <w:r>
              <w:rPr>
                <w:rFonts w:ascii="Arial" w:hAnsi="Arial"/>
                <w:sz w:val="18"/>
              </w:rPr>
              <w:t>2</w:t>
            </w:r>
          </w:p>
        </w:tc>
        <w:tc>
          <w:tcPr>
            <w:tcW w:type="dxa" w:w="510"/>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shd w:val="clear" w:fill="F2F2F2"/>
            <w:vAlign w:val="center"/>
          </w:tcPr>
          <w:p>
            <w:pPr>
              <w:jc w:val="center"/>
            </w:pPr>
            <w:r/>
            <w:r>
              <w:rPr>
                <w:rFonts w:ascii="Arial" w:hAnsi="Arial"/>
                <w:sz w:val="18"/>
              </w:rPr>
              <w:t>R-04</w:t>
            </w:r>
          </w:p>
        </w:tc>
        <w:tc>
          <w:tcPr>
            <w:tcW w:type="dxa" w:w="3402"/>
            <w:shd w:val="clear" w:fill="F2F2F2"/>
            <w:vAlign w:val="center"/>
          </w:tcPr>
          <w:p>
            <w:r/>
            <w:r>
              <w:rPr>
                <w:rFonts w:ascii="Arial" w:hAnsi="Arial"/>
                <w:sz w:val="18"/>
              </w:rPr>
              <w:t>Abuse of privileged accounts (no PAM)</w:t>
            </w:r>
          </w:p>
        </w:tc>
        <w:tc>
          <w:tcPr>
            <w:tcW w:type="dxa" w:w="2665"/>
            <w:shd w:val="clear" w:fill="F2F2F2"/>
            <w:vAlign w:val="center"/>
          </w:tcPr>
          <w:p>
            <w:r/>
            <w:r>
              <w:rPr>
                <w:rFonts w:ascii="Arial" w:hAnsi="Arial"/>
                <w:sz w:val="18"/>
              </w:rPr>
              <w:t>All privileged systems</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vAlign w:val="center"/>
          </w:tcPr>
          <w:p>
            <w:pPr>
              <w:jc w:val="center"/>
            </w:pPr>
            <w:r/>
            <w:r>
              <w:rPr>
                <w:rFonts w:ascii="Arial" w:hAnsi="Arial"/>
                <w:sz w:val="18"/>
              </w:rPr>
              <w:t>R-07</w:t>
            </w:r>
          </w:p>
        </w:tc>
        <w:tc>
          <w:tcPr>
            <w:tcW w:type="dxa" w:w="3402"/>
            <w:vAlign w:val="center"/>
          </w:tcPr>
          <w:p>
            <w:r/>
            <w:r>
              <w:rPr>
                <w:rFonts w:ascii="Arial" w:hAnsi="Arial"/>
                <w:sz w:val="18"/>
              </w:rPr>
              <w:t>Backup failure / unrecoverable data</w:t>
            </w:r>
          </w:p>
        </w:tc>
        <w:tc>
          <w:tcPr>
            <w:tcW w:type="dxa" w:w="2665"/>
            <w:vAlign w:val="center"/>
          </w:tcPr>
          <w:p>
            <w:r/>
            <w:r>
              <w:rPr>
                <w:rFonts w:ascii="Arial" w:hAnsi="Arial"/>
                <w:sz w:val="18"/>
              </w:rPr>
              <w:t>Backup Server</w:t>
            </w:r>
          </w:p>
        </w:tc>
        <w:tc>
          <w:tcPr>
            <w:tcW w:type="dxa" w:w="510"/>
            <w:vAlign w:val="center"/>
          </w:tcPr>
          <w:p>
            <w:pPr>
              <w:jc w:val="center"/>
            </w:pPr>
            <w:r/>
            <w:r>
              <w:rPr>
                <w:rFonts w:ascii="Arial" w:hAnsi="Arial"/>
                <w:sz w:val="18"/>
              </w:rPr>
              <w:t>2</w:t>
            </w:r>
          </w:p>
        </w:tc>
        <w:tc>
          <w:tcPr>
            <w:tcW w:type="dxa" w:w="510"/>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shd w:val="clear" w:fill="F2F2F2"/>
            <w:vAlign w:val="center"/>
          </w:tcPr>
          <w:p>
            <w:pPr>
              <w:jc w:val="center"/>
            </w:pPr>
            <w:r/>
            <w:r>
              <w:rPr>
                <w:rFonts w:ascii="Arial" w:hAnsi="Arial"/>
                <w:sz w:val="18"/>
              </w:rPr>
              <w:t>R-08</w:t>
            </w:r>
          </w:p>
        </w:tc>
        <w:tc>
          <w:tcPr>
            <w:tcW w:type="dxa" w:w="3402"/>
            <w:shd w:val="clear" w:fill="F2F2F2"/>
            <w:vAlign w:val="center"/>
          </w:tcPr>
          <w:p>
            <w:r/>
            <w:r>
              <w:rPr>
                <w:rFonts w:ascii="Arial" w:hAnsi="Arial"/>
                <w:sz w:val="18"/>
              </w:rPr>
              <w:t>Insider data theft or misuse</w:t>
            </w:r>
          </w:p>
        </w:tc>
        <w:tc>
          <w:tcPr>
            <w:tcW w:type="dxa" w:w="2665"/>
            <w:shd w:val="clear" w:fill="F2F2F2"/>
            <w:vAlign w:val="center"/>
          </w:tcPr>
          <w:p>
            <w:r/>
            <w:r>
              <w:rPr>
                <w:rFonts w:ascii="Arial" w:hAnsi="Arial"/>
                <w:sz w:val="18"/>
              </w:rPr>
              <w:t>Customer / HR Data</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vAlign w:val="center"/>
          </w:tcPr>
          <w:p>
            <w:pPr>
              <w:jc w:val="center"/>
            </w:pPr>
            <w:r/>
            <w:r>
              <w:rPr>
                <w:rFonts w:ascii="Arial" w:hAnsi="Arial"/>
                <w:sz w:val="18"/>
              </w:rPr>
              <w:t>R-10</w:t>
            </w:r>
          </w:p>
        </w:tc>
        <w:tc>
          <w:tcPr>
            <w:tcW w:type="dxa" w:w="3402"/>
            <w:vAlign w:val="center"/>
          </w:tcPr>
          <w:p>
            <w:r/>
            <w:r>
              <w:rPr>
                <w:rFonts w:ascii="Arial" w:hAnsi="Arial"/>
                <w:sz w:val="18"/>
              </w:rPr>
              <w:t>Third-party / vendor compromise</w:t>
            </w:r>
          </w:p>
        </w:tc>
        <w:tc>
          <w:tcPr>
            <w:tcW w:type="dxa" w:w="2665"/>
            <w:vAlign w:val="center"/>
          </w:tcPr>
          <w:p>
            <w:r/>
            <w:r>
              <w:rPr>
                <w:rFonts w:ascii="Arial" w:hAnsi="Arial"/>
                <w:sz w:val="18"/>
              </w:rPr>
              <w:t>ERP / Logistics systems</w:t>
            </w:r>
          </w:p>
        </w:tc>
        <w:tc>
          <w:tcPr>
            <w:tcW w:type="dxa" w:w="510"/>
            <w:vAlign w:val="center"/>
          </w:tcPr>
          <w:p>
            <w:pPr>
              <w:jc w:val="center"/>
            </w:pPr>
            <w:r/>
            <w:r>
              <w:rPr>
                <w:rFonts w:ascii="Arial" w:hAnsi="Arial"/>
                <w:sz w:val="18"/>
              </w:rPr>
              <w:t>2</w:t>
            </w:r>
          </w:p>
        </w:tc>
        <w:tc>
          <w:tcPr>
            <w:tcW w:type="dxa" w:w="510"/>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shd w:val="clear" w:fill="F2F2F2"/>
            <w:vAlign w:val="center"/>
          </w:tcPr>
          <w:p>
            <w:pPr>
              <w:jc w:val="center"/>
            </w:pPr>
            <w:r/>
            <w:r>
              <w:rPr>
                <w:rFonts w:ascii="Arial" w:hAnsi="Arial"/>
                <w:sz w:val="18"/>
              </w:rPr>
              <w:t>R-12</w:t>
            </w:r>
          </w:p>
        </w:tc>
        <w:tc>
          <w:tcPr>
            <w:tcW w:type="dxa" w:w="3402"/>
            <w:shd w:val="clear" w:fill="F2F2F2"/>
            <w:vAlign w:val="center"/>
          </w:tcPr>
          <w:p>
            <w:r/>
            <w:r>
              <w:rPr>
                <w:rFonts w:ascii="Arial" w:hAnsi="Arial"/>
                <w:sz w:val="18"/>
              </w:rPr>
              <w:t>Privacy breach of employee PII (PDPL)</w:t>
            </w:r>
          </w:p>
        </w:tc>
        <w:tc>
          <w:tcPr>
            <w:tcW w:type="dxa" w:w="2665"/>
            <w:shd w:val="clear" w:fill="F2F2F2"/>
            <w:vAlign w:val="center"/>
          </w:tcPr>
          <w:p>
            <w:r/>
            <w:r>
              <w:rPr>
                <w:rFonts w:ascii="Arial" w:hAnsi="Arial"/>
                <w:sz w:val="18"/>
              </w:rPr>
              <w:t>HR Records</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3</w:t>
            </w:r>
          </w:p>
        </w:tc>
        <w:tc>
          <w:tcPr>
            <w:tcW w:type="dxa" w:w="1191"/>
            <w:shd w:val="clear" w:fill="C00000"/>
            <w:vAlign w:val="center"/>
          </w:tcPr>
          <w:p>
            <w:pPr>
              <w:jc w:val="center"/>
            </w:pPr>
            <w:r/>
            <w:r>
              <w:rPr>
                <w:rFonts w:ascii="Arial" w:hAnsi="Arial"/>
                <w:b/>
                <w:color w:val="FFFFFF"/>
                <w:sz w:val="18"/>
              </w:rPr>
              <w:t>High</w:t>
            </w:r>
          </w:p>
        </w:tc>
      </w:tr>
      <w:tr>
        <w:tc>
          <w:tcPr>
            <w:tcW w:type="dxa" w:w="737"/>
            <w:vAlign w:val="center"/>
          </w:tcPr>
          <w:p>
            <w:pPr>
              <w:jc w:val="center"/>
            </w:pPr>
            <w:r/>
            <w:r>
              <w:rPr>
                <w:rFonts w:ascii="Arial" w:hAnsi="Arial"/>
                <w:sz w:val="18"/>
              </w:rPr>
              <w:t>R-18</w:t>
            </w:r>
          </w:p>
        </w:tc>
        <w:tc>
          <w:tcPr>
            <w:tcW w:type="dxa" w:w="3402"/>
            <w:vAlign w:val="center"/>
          </w:tcPr>
          <w:p>
            <w:r/>
            <w:r>
              <w:rPr>
                <w:rFonts w:ascii="Arial" w:hAnsi="Arial"/>
                <w:sz w:val="18"/>
              </w:rPr>
              <w:t>Social engineering</w:t>
            </w:r>
          </w:p>
        </w:tc>
        <w:tc>
          <w:tcPr>
            <w:tcW w:type="dxa" w:w="2665"/>
            <w:vAlign w:val="center"/>
          </w:tcPr>
          <w:p>
            <w:r/>
            <w:r>
              <w:rPr>
                <w:rFonts w:ascii="Arial" w:hAnsi="Arial"/>
                <w:sz w:val="18"/>
              </w:rPr>
              <w:t>All information assets</w:t>
            </w:r>
          </w:p>
        </w:tc>
        <w:tc>
          <w:tcPr>
            <w:tcW w:type="dxa" w:w="510"/>
            <w:vAlign w:val="center"/>
          </w:tcPr>
          <w:p>
            <w:pPr>
              <w:jc w:val="center"/>
            </w:pPr>
            <w:r/>
            <w:r>
              <w:rPr>
                <w:rFonts w:ascii="Arial" w:hAnsi="Arial"/>
                <w:sz w:val="18"/>
              </w:rPr>
              <w:t>3</w:t>
            </w:r>
          </w:p>
        </w:tc>
        <w:tc>
          <w:tcPr>
            <w:tcW w:type="dxa" w:w="510"/>
            <w:vAlign w:val="center"/>
          </w:tcPr>
          <w:p>
            <w:pPr>
              <w:jc w:val="center"/>
            </w:pPr>
            <w:r/>
            <w:r>
              <w:rPr>
                <w:rFonts w:ascii="Arial" w:hAnsi="Arial"/>
                <w:sz w:val="18"/>
              </w:rPr>
              <w:t>2</w:t>
            </w:r>
          </w:p>
        </w:tc>
        <w:tc>
          <w:tcPr>
            <w:tcW w:type="dxa" w:w="1191"/>
            <w:shd w:val="clear" w:fill="C00000"/>
            <w:vAlign w:val="center"/>
          </w:tcPr>
          <w:p>
            <w:pPr>
              <w:jc w:val="center"/>
            </w:pPr>
            <w:r/>
            <w:r>
              <w:rPr>
                <w:rFonts w:ascii="Arial" w:hAnsi="Arial"/>
                <w:b/>
                <w:color w:val="FFFFFF"/>
                <w:sz w:val="18"/>
              </w:rPr>
              <w:t>High</w:t>
            </w:r>
          </w:p>
        </w:tc>
      </w:tr>
      <w:tr>
        <w:tc>
          <w:tcPr>
            <w:tcW w:type="dxa" w:w="737"/>
            <w:shd w:val="clear" w:fill="F2F2F2"/>
            <w:vAlign w:val="center"/>
          </w:tcPr>
          <w:p>
            <w:pPr>
              <w:jc w:val="center"/>
            </w:pPr>
            <w:r/>
            <w:r>
              <w:rPr>
                <w:rFonts w:ascii="Arial" w:hAnsi="Arial"/>
                <w:sz w:val="18"/>
              </w:rPr>
              <w:t>R-09</w:t>
            </w:r>
          </w:p>
        </w:tc>
        <w:tc>
          <w:tcPr>
            <w:tcW w:type="dxa" w:w="3402"/>
            <w:shd w:val="clear" w:fill="F2F2F2"/>
            <w:vAlign w:val="center"/>
          </w:tcPr>
          <w:p>
            <w:r/>
            <w:r>
              <w:rPr>
                <w:rFonts w:ascii="Arial" w:hAnsi="Arial"/>
                <w:sz w:val="18"/>
              </w:rPr>
              <w:t>Data leakage (email / USB / cloud)</w:t>
            </w:r>
          </w:p>
        </w:tc>
        <w:tc>
          <w:tcPr>
            <w:tcW w:type="dxa" w:w="2665"/>
            <w:shd w:val="clear" w:fill="F2F2F2"/>
            <w:vAlign w:val="center"/>
          </w:tcPr>
          <w:p>
            <w:r/>
            <w:r>
              <w:rPr>
                <w:rFonts w:ascii="Arial" w:hAnsi="Arial"/>
                <w:sz w:val="18"/>
              </w:rPr>
              <w:t>Customer / Financial Data</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2</w:t>
            </w:r>
          </w:p>
        </w:tc>
        <w:tc>
          <w:tcPr>
            <w:tcW w:type="dxa" w:w="1191"/>
            <w:shd w:val="clear" w:fill="FFD966"/>
            <w:vAlign w:val="center"/>
          </w:tcPr>
          <w:p>
            <w:pPr>
              <w:jc w:val="center"/>
            </w:pPr>
            <w:r/>
            <w:r>
              <w:rPr>
                <w:rFonts w:ascii="Arial" w:hAnsi="Arial"/>
                <w:b/>
                <w:sz w:val="18"/>
              </w:rPr>
              <w:t>Medium</w:t>
            </w:r>
          </w:p>
        </w:tc>
      </w:tr>
      <w:tr>
        <w:tc>
          <w:tcPr>
            <w:tcW w:type="dxa" w:w="737"/>
            <w:vAlign w:val="center"/>
          </w:tcPr>
          <w:p>
            <w:pPr>
              <w:jc w:val="center"/>
            </w:pPr>
            <w:r/>
            <w:r>
              <w:rPr>
                <w:rFonts w:ascii="Arial" w:hAnsi="Arial"/>
                <w:sz w:val="18"/>
              </w:rPr>
              <w:t>R-11</w:t>
            </w:r>
          </w:p>
        </w:tc>
        <w:tc>
          <w:tcPr>
            <w:tcW w:type="dxa" w:w="3402"/>
            <w:vAlign w:val="center"/>
          </w:tcPr>
          <w:p>
            <w:r/>
            <w:r>
              <w:rPr>
                <w:rFonts w:ascii="Arial" w:hAnsi="Arial"/>
                <w:sz w:val="18"/>
              </w:rPr>
              <w:t>Network outage (single points of failure)</w:t>
            </w:r>
          </w:p>
        </w:tc>
        <w:tc>
          <w:tcPr>
            <w:tcW w:type="dxa" w:w="2665"/>
            <w:vAlign w:val="center"/>
          </w:tcPr>
          <w:p>
            <w:r/>
            <w:r>
              <w:rPr>
                <w:rFonts w:ascii="Arial" w:hAnsi="Arial"/>
                <w:sz w:val="18"/>
              </w:rPr>
              <w:t>Network Infrastructure</w:t>
            </w:r>
          </w:p>
        </w:tc>
        <w:tc>
          <w:tcPr>
            <w:tcW w:type="dxa" w:w="510"/>
            <w:vAlign w:val="center"/>
          </w:tcPr>
          <w:p>
            <w:pPr>
              <w:jc w:val="center"/>
            </w:pPr>
            <w:r/>
            <w:r>
              <w:rPr>
                <w:rFonts w:ascii="Arial" w:hAnsi="Arial"/>
                <w:sz w:val="18"/>
              </w:rPr>
              <w:t>2</w:t>
            </w:r>
          </w:p>
        </w:tc>
        <w:tc>
          <w:tcPr>
            <w:tcW w:type="dxa" w:w="510"/>
            <w:vAlign w:val="center"/>
          </w:tcPr>
          <w:p>
            <w:pPr>
              <w:jc w:val="center"/>
            </w:pPr>
            <w:r/>
            <w:r>
              <w:rPr>
                <w:rFonts w:ascii="Arial" w:hAnsi="Arial"/>
                <w:sz w:val="18"/>
              </w:rPr>
              <w:t>2</w:t>
            </w:r>
          </w:p>
        </w:tc>
        <w:tc>
          <w:tcPr>
            <w:tcW w:type="dxa" w:w="1191"/>
            <w:shd w:val="clear" w:fill="FFD966"/>
            <w:vAlign w:val="center"/>
          </w:tcPr>
          <w:p>
            <w:pPr>
              <w:jc w:val="center"/>
            </w:pPr>
            <w:r/>
            <w:r>
              <w:rPr>
                <w:rFonts w:ascii="Arial" w:hAnsi="Arial"/>
                <w:b/>
                <w:sz w:val="18"/>
              </w:rPr>
              <w:t>Medium</w:t>
            </w:r>
          </w:p>
        </w:tc>
      </w:tr>
      <w:tr>
        <w:tc>
          <w:tcPr>
            <w:tcW w:type="dxa" w:w="737"/>
            <w:shd w:val="clear" w:fill="F2F2F2"/>
            <w:vAlign w:val="center"/>
          </w:tcPr>
          <w:p>
            <w:pPr>
              <w:jc w:val="center"/>
            </w:pPr>
            <w:r/>
            <w:r>
              <w:rPr>
                <w:rFonts w:ascii="Arial" w:hAnsi="Arial"/>
                <w:sz w:val="18"/>
              </w:rPr>
              <w:t>R-13</w:t>
            </w:r>
          </w:p>
        </w:tc>
        <w:tc>
          <w:tcPr>
            <w:tcW w:type="dxa" w:w="3402"/>
            <w:shd w:val="clear" w:fill="F2F2F2"/>
            <w:vAlign w:val="center"/>
          </w:tcPr>
          <w:p>
            <w:r/>
            <w:r>
              <w:rPr>
                <w:rFonts w:ascii="Arial" w:hAnsi="Arial"/>
                <w:sz w:val="18"/>
              </w:rPr>
              <w:t>Malware infection on endpoints</w:t>
            </w:r>
          </w:p>
        </w:tc>
        <w:tc>
          <w:tcPr>
            <w:tcW w:type="dxa" w:w="2665"/>
            <w:shd w:val="clear" w:fill="F2F2F2"/>
            <w:vAlign w:val="center"/>
          </w:tcPr>
          <w:p>
            <w:r/>
            <w:r>
              <w:rPr>
                <w:rFonts w:ascii="Arial" w:hAnsi="Arial"/>
                <w:sz w:val="18"/>
              </w:rPr>
              <w:t>Employee Endpoints</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2</w:t>
            </w:r>
          </w:p>
        </w:tc>
        <w:tc>
          <w:tcPr>
            <w:tcW w:type="dxa" w:w="1191"/>
            <w:shd w:val="clear" w:fill="FFD966"/>
            <w:vAlign w:val="center"/>
          </w:tcPr>
          <w:p>
            <w:pPr>
              <w:jc w:val="center"/>
            </w:pPr>
            <w:r/>
            <w:r>
              <w:rPr>
                <w:rFonts w:ascii="Arial" w:hAnsi="Arial"/>
                <w:b/>
                <w:sz w:val="18"/>
              </w:rPr>
              <w:t>Medium</w:t>
            </w:r>
          </w:p>
        </w:tc>
      </w:tr>
      <w:tr>
        <w:tc>
          <w:tcPr>
            <w:tcW w:type="dxa" w:w="737"/>
            <w:vAlign w:val="center"/>
          </w:tcPr>
          <w:p>
            <w:pPr>
              <w:jc w:val="center"/>
            </w:pPr>
            <w:r/>
            <w:r>
              <w:rPr>
                <w:rFonts w:ascii="Arial" w:hAnsi="Arial"/>
                <w:sz w:val="18"/>
              </w:rPr>
              <w:t>R-14</w:t>
            </w:r>
          </w:p>
        </w:tc>
        <w:tc>
          <w:tcPr>
            <w:tcW w:type="dxa" w:w="3402"/>
            <w:vAlign w:val="center"/>
          </w:tcPr>
          <w:p>
            <w:r/>
            <w:r>
              <w:rPr>
                <w:rFonts w:ascii="Arial" w:hAnsi="Arial"/>
                <w:sz w:val="18"/>
              </w:rPr>
              <w:t>Loss / theft of unencrypted laptop</w:t>
            </w:r>
          </w:p>
        </w:tc>
        <w:tc>
          <w:tcPr>
            <w:tcW w:type="dxa" w:w="2665"/>
            <w:vAlign w:val="center"/>
          </w:tcPr>
          <w:p>
            <w:r/>
            <w:r>
              <w:rPr>
                <w:rFonts w:ascii="Arial" w:hAnsi="Arial"/>
                <w:sz w:val="18"/>
              </w:rPr>
              <w:t>Employee Endpoints</w:t>
            </w:r>
          </w:p>
        </w:tc>
        <w:tc>
          <w:tcPr>
            <w:tcW w:type="dxa" w:w="510"/>
            <w:vAlign w:val="center"/>
          </w:tcPr>
          <w:p>
            <w:pPr>
              <w:jc w:val="center"/>
            </w:pPr>
            <w:r/>
            <w:r>
              <w:rPr>
                <w:rFonts w:ascii="Arial" w:hAnsi="Arial"/>
                <w:sz w:val="18"/>
              </w:rPr>
              <w:t>2</w:t>
            </w:r>
          </w:p>
        </w:tc>
        <w:tc>
          <w:tcPr>
            <w:tcW w:type="dxa" w:w="510"/>
            <w:vAlign w:val="center"/>
          </w:tcPr>
          <w:p>
            <w:pPr>
              <w:jc w:val="center"/>
            </w:pPr>
            <w:r/>
            <w:r>
              <w:rPr>
                <w:rFonts w:ascii="Arial" w:hAnsi="Arial"/>
                <w:sz w:val="18"/>
              </w:rPr>
              <w:t>2</w:t>
            </w:r>
          </w:p>
        </w:tc>
        <w:tc>
          <w:tcPr>
            <w:tcW w:type="dxa" w:w="1191"/>
            <w:shd w:val="clear" w:fill="FFD966"/>
            <w:vAlign w:val="center"/>
          </w:tcPr>
          <w:p>
            <w:pPr>
              <w:jc w:val="center"/>
            </w:pPr>
            <w:r/>
            <w:r>
              <w:rPr>
                <w:rFonts w:ascii="Arial" w:hAnsi="Arial"/>
                <w:b/>
                <w:sz w:val="18"/>
              </w:rPr>
              <w:t>Medium</w:t>
            </w:r>
          </w:p>
        </w:tc>
      </w:tr>
      <w:tr>
        <w:tc>
          <w:tcPr>
            <w:tcW w:type="dxa" w:w="737"/>
            <w:shd w:val="clear" w:fill="F2F2F2"/>
            <w:vAlign w:val="center"/>
          </w:tcPr>
          <w:p>
            <w:pPr>
              <w:jc w:val="center"/>
            </w:pPr>
            <w:r/>
            <w:r>
              <w:rPr>
                <w:rFonts w:ascii="Arial" w:hAnsi="Arial"/>
                <w:sz w:val="18"/>
              </w:rPr>
              <w:t>R-15</w:t>
            </w:r>
          </w:p>
        </w:tc>
        <w:tc>
          <w:tcPr>
            <w:tcW w:type="dxa" w:w="3402"/>
            <w:shd w:val="clear" w:fill="F2F2F2"/>
            <w:vAlign w:val="center"/>
          </w:tcPr>
          <w:p>
            <w:r/>
            <w:r>
              <w:rPr>
                <w:rFonts w:ascii="Arial" w:hAnsi="Arial"/>
                <w:sz w:val="18"/>
              </w:rPr>
              <w:t>Shadow IT / unsanctioned cloud apps</w:t>
            </w:r>
          </w:p>
        </w:tc>
        <w:tc>
          <w:tcPr>
            <w:tcW w:type="dxa" w:w="2665"/>
            <w:shd w:val="clear" w:fill="F2F2F2"/>
            <w:vAlign w:val="center"/>
          </w:tcPr>
          <w:p>
            <w:r/>
            <w:r>
              <w:rPr>
                <w:rFonts w:ascii="Arial" w:hAnsi="Arial"/>
                <w:sz w:val="18"/>
              </w:rPr>
              <w:t>Microsoft 365 / SaaS</w:t>
            </w:r>
          </w:p>
        </w:tc>
        <w:tc>
          <w:tcPr>
            <w:tcW w:type="dxa" w:w="510"/>
            <w:shd w:val="clear" w:fill="F2F2F2"/>
            <w:vAlign w:val="center"/>
          </w:tcPr>
          <w:p>
            <w:pPr>
              <w:jc w:val="center"/>
            </w:pPr>
            <w:r/>
            <w:r>
              <w:rPr>
                <w:rFonts w:ascii="Arial" w:hAnsi="Arial"/>
                <w:sz w:val="18"/>
              </w:rPr>
              <w:t>2</w:t>
            </w:r>
          </w:p>
        </w:tc>
        <w:tc>
          <w:tcPr>
            <w:tcW w:type="dxa" w:w="510"/>
            <w:shd w:val="clear" w:fill="F2F2F2"/>
            <w:vAlign w:val="center"/>
          </w:tcPr>
          <w:p>
            <w:pPr>
              <w:jc w:val="center"/>
            </w:pPr>
            <w:r/>
            <w:r>
              <w:rPr>
                <w:rFonts w:ascii="Arial" w:hAnsi="Arial"/>
                <w:sz w:val="18"/>
              </w:rPr>
              <w:t>2</w:t>
            </w:r>
          </w:p>
        </w:tc>
        <w:tc>
          <w:tcPr>
            <w:tcW w:type="dxa" w:w="1191"/>
            <w:shd w:val="clear" w:fill="FFD966"/>
            <w:vAlign w:val="center"/>
          </w:tcPr>
          <w:p>
            <w:pPr>
              <w:jc w:val="center"/>
            </w:pPr>
            <w:r/>
            <w:r>
              <w:rPr>
                <w:rFonts w:ascii="Arial" w:hAnsi="Arial"/>
                <w:b/>
                <w:sz w:val="18"/>
              </w:rPr>
              <w:t>Medium</w:t>
            </w:r>
          </w:p>
        </w:tc>
      </w:tr>
      <w:tr>
        <w:tc>
          <w:tcPr>
            <w:tcW w:type="dxa" w:w="737"/>
            <w:vAlign w:val="center"/>
          </w:tcPr>
          <w:p>
            <w:pPr>
              <w:jc w:val="center"/>
            </w:pPr>
            <w:r/>
            <w:r>
              <w:rPr>
                <w:rFonts w:ascii="Arial" w:hAnsi="Arial"/>
                <w:sz w:val="18"/>
              </w:rPr>
              <w:t>R-16</w:t>
            </w:r>
          </w:p>
        </w:tc>
        <w:tc>
          <w:tcPr>
            <w:tcW w:type="dxa" w:w="3402"/>
            <w:vAlign w:val="center"/>
          </w:tcPr>
          <w:p>
            <w:r/>
            <w:r>
              <w:rPr>
                <w:rFonts w:ascii="Arial" w:hAnsi="Arial"/>
                <w:sz w:val="18"/>
              </w:rPr>
              <w:t>Unauthorized physical access</w:t>
            </w:r>
          </w:p>
        </w:tc>
        <w:tc>
          <w:tcPr>
            <w:tcW w:type="dxa" w:w="2665"/>
            <w:vAlign w:val="center"/>
          </w:tcPr>
          <w:p>
            <w:r/>
            <w:r>
              <w:rPr>
                <w:rFonts w:ascii="Arial" w:hAnsi="Arial"/>
                <w:sz w:val="18"/>
              </w:rPr>
              <w:t>Server Room</w:t>
            </w:r>
          </w:p>
        </w:tc>
        <w:tc>
          <w:tcPr>
            <w:tcW w:type="dxa" w:w="510"/>
            <w:vAlign w:val="center"/>
          </w:tcPr>
          <w:p>
            <w:pPr>
              <w:jc w:val="center"/>
            </w:pPr>
            <w:r/>
            <w:r>
              <w:rPr>
                <w:rFonts w:ascii="Arial" w:hAnsi="Arial"/>
                <w:sz w:val="18"/>
              </w:rPr>
              <w:t>1</w:t>
            </w:r>
          </w:p>
        </w:tc>
        <w:tc>
          <w:tcPr>
            <w:tcW w:type="dxa" w:w="510"/>
            <w:vAlign w:val="center"/>
          </w:tcPr>
          <w:p>
            <w:pPr>
              <w:jc w:val="center"/>
            </w:pPr>
            <w:r/>
            <w:r>
              <w:rPr>
                <w:rFonts w:ascii="Arial" w:hAnsi="Arial"/>
                <w:sz w:val="18"/>
              </w:rPr>
              <w:t>3</w:t>
            </w:r>
          </w:p>
        </w:tc>
        <w:tc>
          <w:tcPr>
            <w:tcW w:type="dxa" w:w="1191"/>
            <w:shd w:val="clear" w:fill="FFD966"/>
            <w:vAlign w:val="center"/>
          </w:tcPr>
          <w:p>
            <w:pPr>
              <w:jc w:val="center"/>
            </w:pPr>
            <w:r/>
            <w:r>
              <w:rPr>
                <w:rFonts w:ascii="Arial" w:hAnsi="Arial"/>
                <w:b/>
                <w:sz w:val="18"/>
              </w:rPr>
              <w:t>Medium</w:t>
            </w:r>
          </w:p>
        </w:tc>
      </w:tr>
      <w:tr>
        <w:tc>
          <w:tcPr>
            <w:tcW w:type="dxa" w:w="737"/>
            <w:shd w:val="clear" w:fill="F2F2F2"/>
            <w:vAlign w:val="center"/>
          </w:tcPr>
          <w:p>
            <w:pPr>
              <w:jc w:val="center"/>
            </w:pPr>
            <w:r/>
            <w:r>
              <w:rPr>
                <w:rFonts w:ascii="Arial" w:hAnsi="Arial"/>
                <w:sz w:val="18"/>
              </w:rPr>
              <w:t>R-17</w:t>
            </w:r>
          </w:p>
        </w:tc>
        <w:tc>
          <w:tcPr>
            <w:tcW w:type="dxa" w:w="3402"/>
            <w:shd w:val="clear" w:fill="F2F2F2"/>
            <w:vAlign w:val="center"/>
          </w:tcPr>
          <w:p>
            <w:r/>
            <w:r>
              <w:rPr>
                <w:rFonts w:ascii="Arial" w:hAnsi="Arial"/>
                <w:sz w:val="18"/>
              </w:rPr>
              <w:t>DDoS on internet-facing services</w:t>
            </w:r>
          </w:p>
        </w:tc>
        <w:tc>
          <w:tcPr>
            <w:tcW w:type="dxa" w:w="2665"/>
            <w:shd w:val="clear" w:fill="F2F2F2"/>
            <w:vAlign w:val="center"/>
          </w:tcPr>
          <w:p>
            <w:r/>
            <w:r>
              <w:rPr>
                <w:rFonts w:ascii="Arial" w:hAnsi="Arial"/>
                <w:sz w:val="18"/>
              </w:rPr>
              <w:t>Public-facing services</w:t>
            </w:r>
          </w:p>
        </w:tc>
        <w:tc>
          <w:tcPr>
            <w:tcW w:type="dxa" w:w="510"/>
            <w:shd w:val="clear" w:fill="F2F2F2"/>
            <w:vAlign w:val="center"/>
          </w:tcPr>
          <w:p>
            <w:pPr>
              <w:jc w:val="center"/>
            </w:pPr>
            <w:r/>
            <w:r>
              <w:rPr>
                <w:rFonts w:ascii="Arial" w:hAnsi="Arial"/>
                <w:sz w:val="18"/>
              </w:rPr>
              <w:t>1</w:t>
            </w:r>
          </w:p>
        </w:tc>
        <w:tc>
          <w:tcPr>
            <w:tcW w:type="dxa" w:w="510"/>
            <w:shd w:val="clear" w:fill="F2F2F2"/>
            <w:vAlign w:val="center"/>
          </w:tcPr>
          <w:p>
            <w:pPr>
              <w:jc w:val="center"/>
            </w:pPr>
            <w:r/>
            <w:r>
              <w:rPr>
                <w:rFonts w:ascii="Arial" w:hAnsi="Arial"/>
                <w:sz w:val="18"/>
              </w:rPr>
              <w:t>2</w:t>
            </w:r>
          </w:p>
        </w:tc>
        <w:tc>
          <w:tcPr>
            <w:tcW w:type="dxa" w:w="1191"/>
            <w:shd w:val="clear" w:fill="70AD47"/>
            <w:vAlign w:val="center"/>
          </w:tcPr>
          <w:p>
            <w:pPr>
              <w:jc w:val="center"/>
            </w:pPr>
            <w:r/>
            <w:r>
              <w:rPr>
                <w:rFonts w:ascii="Arial" w:hAnsi="Arial"/>
                <w:b/>
                <w:color w:val="FFFFFF"/>
                <w:sz w:val="18"/>
              </w:rPr>
              <w:t>Low</w:t>
            </w:r>
          </w:p>
        </w:tc>
      </w:tr>
    </w:tbl>
    <w:p>
      <w:pPr>
        <w:spacing w:after="200"/>
      </w:pPr>
    </w:p>
    <w:p>
      <w:pPr>
        <w:pStyle w:val="Heading2"/>
      </w:pPr>
      <w:r>
        <w:t>8.1 Key Findings</w:t>
      </w:r>
    </w:p>
    <w:p>
      <w:pPr>
        <w:pStyle w:val="ListBullet"/>
        <w:spacing w:after="80"/>
      </w:pPr>
      <w:r>
        <w:rPr>
          <w:b/>
          <w:sz w:val="22"/>
        </w:rPr>
        <w:t xml:space="preserve">Identity is the weakest layer. </w:t>
      </w:r>
      <w:r>
        <w:rPr>
          <w:sz w:val="22"/>
        </w:rPr>
        <w:t>MFA is enforced only for IT staff, legacy authentication remains enabled, and phishing resilience is untested (R-01, R-05). Combined, these create a direct path to Microsoft 365 and ERP compromise.</w:t>
      </w:r>
    </w:p>
    <w:p>
      <w:pPr>
        <w:pStyle w:val="ListBullet"/>
        <w:spacing w:after="80"/>
      </w:pPr>
      <w:r>
        <w:rPr>
          <w:b/>
          <w:sz w:val="22"/>
        </w:rPr>
        <w:t xml:space="preserve">Recoverability is unproven. </w:t>
      </w:r>
      <w:r>
        <w:rPr>
          <w:sz w:val="22"/>
        </w:rPr>
        <w:t>Backups run daily but restores have never been tested, and the backup server shares the production network segment — a single ransomware event could encrypt both production and backups (R-02, R-07).</w:t>
      </w:r>
    </w:p>
    <w:p>
      <w:pPr>
        <w:pStyle w:val="ListBullet"/>
        <w:spacing w:after="80"/>
      </w:pPr>
      <w:r>
        <w:rPr>
          <w:b/>
          <w:sz w:val="22"/>
        </w:rPr>
        <w:t xml:space="preserve">Privileged access is unmanaged. </w:t>
      </w:r>
      <w:r>
        <w:rPr>
          <w:sz w:val="22"/>
        </w:rPr>
        <w:t>Shared administrator accounts without session logging prevent accountability and materially increase both insider and external attack impact (R-04).</w:t>
      </w:r>
    </w:p>
    <w:p>
      <w:pPr>
        <w:pStyle w:val="ListBullet"/>
        <w:spacing w:after="80"/>
      </w:pPr>
      <w:r>
        <w:rPr>
          <w:b/>
          <w:sz w:val="22"/>
        </w:rPr>
        <w:t xml:space="preserve">Patch discipline is ad hoc. </w:t>
      </w:r>
      <w:r>
        <w:rPr>
          <w:sz w:val="22"/>
        </w:rPr>
        <w:t>No formal patching cycle exists and legacy operating systems remain in service, leaving known vulnerabilities exploitable (R-06).</w:t>
      </w:r>
    </w:p>
    <w:p>
      <w:pPr>
        <w:pStyle w:val="ListBullet"/>
        <w:spacing w:after="80"/>
      </w:pPr>
      <w:r>
        <w:rPr>
          <w:b/>
          <w:sz w:val="22"/>
        </w:rPr>
        <w:t xml:space="preserve">Third parties are unassessed. </w:t>
      </w:r>
      <w:r>
        <w:rPr>
          <w:sz w:val="22"/>
        </w:rPr>
        <w:t>Vendors hold remote access into group systems without security due diligence or contractual security requirements (R-10).</w:t>
      </w:r>
    </w:p>
    <w:p>
      <w:pPr>
        <w:pStyle w:val="Heading1"/>
      </w:pPr>
      <w:r>
        <w:t>9. Risk Treatment Plan</w:t>
      </w:r>
    </w:p>
    <w:p>
      <w:pPr>
        <w:spacing w:after="160"/>
        <w:jc w:val="both"/>
      </w:pPr>
      <w:r>
        <w:rPr>
          <w:b w:val="0"/>
          <w:i w:val="0"/>
          <w:sz w:val="22"/>
        </w:rPr>
        <w:t>Twelve treatment actions address the identified risks. Actions are sequenced so that low-cost, high-impact identity and recoverability controls land first (Q1 2026), followed by platform investments (PAM, EDR, segmentation) in Q2, and programmatic controls (vendor assessment, DLP, redundancy) in Q3.</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680"/>
            <w:shd w:val="clear" w:fill="1F3864"/>
            <w:vAlign w:val="center"/>
          </w:tcPr>
          <w:p>
            <w:pPr>
              <w:jc w:val="center"/>
            </w:pPr>
            <w:r/>
            <w:r>
              <w:rPr>
                <w:rFonts w:ascii="Arial" w:hAnsi="Arial"/>
                <w:b/>
                <w:color w:val="FFFFFF"/>
                <w:sz w:val="18"/>
              </w:rPr>
              <w:t>ID</w:t>
            </w:r>
          </w:p>
        </w:tc>
        <w:tc>
          <w:tcPr>
            <w:tcW w:type="dxa" w:w="3572"/>
            <w:shd w:val="clear" w:fill="1F3864"/>
            <w:vAlign w:val="center"/>
          </w:tcPr>
          <w:p>
            <w:pPr>
              <w:jc w:val="center"/>
            </w:pPr>
            <w:r/>
            <w:r>
              <w:rPr>
                <w:rFonts w:ascii="Arial" w:hAnsi="Arial"/>
                <w:b/>
                <w:color w:val="FFFFFF"/>
                <w:sz w:val="18"/>
              </w:rPr>
              <w:t>Action</w:t>
            </w:r>
          </w:p>
        </w:tc>
        <w:tc>
          <w:tcPr>
            <w:tcW w:type="dxa" w:w="1531"/>
            <w:shd w:val="clear" w:fill="1F3864"/>
            <w:vAlign w:val="center"/>
          </w:tcPr>
          <w:p>
            <w:pPr>
              <w:jc w:val="center"/>
            </w:pPr>
            <w:r/>
            <w:r>
              <w:rPr>
                <w:rFonts w:ascii="Arial" w:hAnsi="Arial"/>
                <w:b/>
                <w:color w:val="FFFFFF"/>
                <w:sz w:val="18"/>
              </w:rPr>
              <w:t>Related Risks</w:t>
            </w:r>
          </w:p>
        </w:tc>
        <w:tc>
          <w:tcPr>
            <w:tcW w:type="dxa" w:w="1474"/>
            <w:shd w:val="clear" w:fill="1F3864"/>
            <w:vAlign w:val="center"/>
          </w:tcPr>
          <w:p>
            <w:pPr>
              <w:jc w:val="center"/>
            </w:pPr>
            <w:r/>
            <w:r>
              <w:rPr>
                <w:rFonts w:ascii="Arial" w:hAnsi="Arial"/>
                <w:b/>
                <w:color w:val="FFFFFF"/>
                <w:sz w:val="18"/>
              </w:rPr>
              <w:t>Owner</w:t>
            </w:r>
          </w:p>
        </w:tc>
        <w:tc>
          <w:tcPr>
            <w:tcW w:type="dxa" w:w="850"/>
            <w:shd w:val="clear" w:fill="1F3864"/>
            <w:vAlign w:val="center"/>
          </w:tcPr>
          <w:p>
            <w:pPr>
              <w:jc w:val="center"/>
            </w:pPr>
            <w:r/>
            <w:r>
              <w:rPr>
                <w:rFonts w:ascii="Arial" w:hAnsi="Arial"/>
                <w:b/>
                <w:color w:val="FFFFFF"/>
                <w:sz w:val="18"/>
              </w:rPr>
              <w:t>Target</w:t>
            </w:r>
          </w:p>
        </w:tc>
        <w:tc>
          <w:tcPr>
            <w:tcW w:type="dxa" w:w="907"/>
            <w:shd w:val="clear" w:fill="1F3864"/>
            <w:vAlign w:val="center"/>
          </w:tcPr>
          <w:p>
            <w:pPr>
              <w:jc w:val="center"/>
            </w:pPr>
            <w:r/>
            <w:r>
              <w:rPr>
                <w:rFonts w:ascii="Arial" w:hAnsi="Arial"/>
                <w:b/>
                <w:color w:val="FFFFFF"/>
                <w:sz w:val="18"/>
              </w:rPr>
              <w:t>Priority</w:t>
            </w:r>
          </w:p>
        </w:tc>
      </w:tr>
      <w:tr>
        <w:tc>
          <w:tcPr>
            <w:tcW w:type="dxa" w:w="680"/>
            <w:vAlign w:val="center"/>
          </w:tcPr>
          <w:p>
            <w:pPr>
              <w:jc w:val="center"/>
            </w:pPr>
            <w:r/>
            <w:r>
              <w:rPr>
                <w:rFonts w:ascii="Arial" w:hAnsi="Arial"/>
                <w:sz w:val="18"/>
              </w:rPr>
              <w:t>T-01</w:t>
            </w:r>
          </w:p>
        </w:tc>
        <w:tc>
          <w:tcPr>
            <w:tcW w:type="dxa" w:w="3572"/>
            <w:vAlign w:val="center"/>
          </w:tcPr>
          <w:p>
            <w:r/>
            <w:r>
              <w:rPr>
                <w:rFonts w:ascii="Arial" w:hAnsi="Arial"/>
                <w:sz w:val="18"/>
              </w:rPr>
              <w:t>Enforce MFA tenant-wide; block legacy authentication</w:t>
            </w:r>
          </w:p>
        </w:tc>
        <w:tc>
          <w:tcPr>
            <w:tcW w:type="dxa" w:w="1531"/>
            <w:vAlign w:val="center"/>
          </w:tcPr>
          <w:p>
            <w:r/>
            <w:r>
              <w:rPr>
                <w:rFonts w:ascii="Arial" w:hAnsi="Arial"/>
                <w:sz w:val="18"/>
              </w:rPr>
              <w:t>R-01, R-05</w:t>
            </w:r>
          </w:p>
        </w:tc>
        <w:tc>
          <w:tcPr>
            <w:tcW w:type="dxa" w:w="1474"/>
            <w:vAlign w:val="center"/>
          </w:tcPr>
          <w:p>
            <w:r/>
            <w:r>
              <w:rPr>
                <w:rFonts w:ascii="Arial" w:hAnsi="Arial"/>
                <w:sz w:val="18"/>
              </w:rPr>
              <w:t>IT Security</w:t>
            </w:r>
          </w:p>
        </w:tc>
        <w:tc>
          <w:tcPr>
            <w:tcW w:type="dxa" w:w="850"/>
            <w:vAlign w:val="center"/>
          </w:tcPr>
          <w:p>
            <w:pPr>
              <w:jc w:val="center"/>
            </w:pPr>
            <w:r/>
            <w:r>
              <w:rPr>
                <w:rFonts w:ascii="Arial" w:hAnsi="Arial"/>
                <w:sz w:val="18"/>
              </w:rPr>
              <w:t>Q1 2026</w:t>
            </w:r>
          </w:p>
        </w:tc>
        <w:tc>
          <w:tcPr>
            <w:tcW w:type="dxa" w:w="907"/>
            <w:shd w:val="clear" w:fill="C00000"/>
            <w:vAlign w:val="center"/>
          </w:tcPr>
          <w:p>
            <w:pPr>
              <w:jc w:val="center"/>
            </w:pPr>
            <w:r/>
            <w:r>
              <w:rPr>
                <w:rFonts w:ascii="Arial" w:hAnsi="Arial"/>
                <w:b/>
                <w:color w:val="FFFFFF"/>
                <w:sz w:val="18"/>
              </w:rPr>
              <w:t>High</w:t>
            </w:r>
          </w:p>
        </w:tc>
      </w:tr>
      <w:tr>
        <w:tc>
          <w:tcPr>
            <w:tcW w:type="dxa" w:w="680"/>
            <w:shd w:val="clear" w:fill="F2F2F2"/>
            <w:vAlign w:val="center"/>
          </w:tcPr>
          <w:p>
            <w:pPr>
              <w:jc w:val="center"/>
            </w:pPr>
            <w:r/>
            <w:r>
              <w:rPr>
                <w:rFonts w:ascii="Arial" w:hAnsi="Arial"/>
                <w:sz w:val="18"/>
              </w:rPr>
              <w:t>T-03</w:t>
            </w:r>
          </w:p>
        </w:tc>
        <w:tc>
          <w:tcPr>
            <w:tcW w:type="dxa" w:w="3572"/>
            <w:shd w:val="clear" w:fill="F2F2F2"/>
            <w:vAlign w:val="center"/>
          </w:tcPr>
          <w:p>
            <w:r/>
            <w:r>
              <w:rPr>
                <w:rFonts w:ascii="Arial" w:hAnsi="Arial"/>
                <w:sz w:val="18"/>
              </w:rPr>
              <w:t>Phishing simulation &amp; security awareness program</w:t>
            </w:r>
          </w:p>
        </w:tc>
        <w:tc>
          <w:tcPr>
            <w:tcW w:type="dxa" w:w="1531"/>
            <w:shd w:val="clear" w:fill="F2F2F2"/>
            <w:vAlign w:val="center"/>
          </w:tcPr>
          <w:p>
            <w:r/>
            <w:r>
              <w:rPr>
                <w:rFonts w:ascii="Arial" w:hAnsi="Arial"/>
                <w:sz w:val="18"/>
              </w:rPr>
              <w:t>R-01, R-03, R-18</w:t>
            </w:r>
          </w:p>
        </w:tc>
        <w:tc>
          <w:tcPr>
            <w:tcW w:type="dxa" w:w="1474"/>
            <w:shd w:val="clear" w:fill="F2F2F2"/>
            <w:vAlign w:val="center"/>
          </w:tcPr>
          <w:p>
            <w:r/>
            <w:r>
              <w:rPr>
                <w:rFonts w:ascii="Arial" w:hAnsi="Arial"/>
                <w:sz w:val="18"/>
              </w:rPr>
              <w:t>IT Security + HR</w:t>
            </w:r>
          </w:p>
        </w:tc>
        <w:tc>
          <w:tcPr>
            <w:tcW w:type="dxa" w:w="850"/>
            <w:shd w:val="clear" w:fill="F2F2F2"/>
            <w:vAlign w:val="center"/>
          </w:tcPr>
          <w:p>
            <w:pPr>
              <w:jc w:val="center"/>
            </w:pPr>
            <w:r/>
            <w:r>
              <w:rPr>
                <w:rFonts w:ascii="Arial" w:hAnsi="Arial"/>
                <w:sz w:val="18"/>
              </w:rPr>
              <w:t>Q1 2026</w:t>
            </w:r>
          </w:p>
        </w:tc>
        <w:tc>
          <w:tcPr>
            <w:tcW w:type="dxa" w:w="907"/>
            <w:shd w:val="clear" w:fill="C00000"/>
            <w:vAlign w:val="center"/>
          </w:tcPr>
          <w:p>
            <w:pPr>
              <w:jc w:val="center"/>
            </w:pPr>
            <w:r/>
            <w:r>
              <w:rPr>
                <w:rFonts w:ascii="Arial" w:hAnsi="Arial"/>
                <w:b/>
                <w:color w:val="FFFFFF"/>
                <w:sz w:val="18"/>
              </w:rPr>
              <w:t>High</w:t>
            </w:r>
          </w:p>
        </w:tc>
      </w:tr>
      <w:tr>
        <w:tc>
          <w:tcPr>
            <w:tcW w:type="dxa" w:w="680"/>
            <w:vAlign w:val="center"/>
          </w:tcPr>
          <w:p>
            <w:pPr>
              <w:jc w:val="center"/>
            </w:pPr>
            <w:r/>
            <w:r>
              <w:rPr>
                <w:rFonts w:ascii="Arial" w:hAnsi="Arial"/>
                <w:sz w:val="18"/>
              </w:rPr>
              <w:t>T-05</w:t>
            </w:r>
          </w:p>
        </w:tc>
        <w:tc>
          <w:tcPr>
            <w:tcW w:type="dxa" w:w="3572"/>
            <w:vAlign w:val="center"/>
          </w:tcPr>
          <w:p>
            <w:r/>
            <w:r>
              <w:rPr>
                <w:rFonts w:ascii="Arial" w:hAnsi="Arial"/>
                <w:sz w:val="18"/>
              </w:rPr>
              <w:t>Quarterly backup restore testing; offline copy (3-2-1)</w:t>
            </w:r>
          </w:p>
        </w:tc>
        <w:tc>
          <w:tcPr>
            <w:tcW w:type="dxa" w:w="1531"/>
            <w:vAlign w:val="center"/>
          </w:tcPr>
          <w:p>
            <w:r/>
            <w:r>
              <w:rPr>
                <w:rFonts w:ascii="Arial" w:hAnsi="Arial"/>
                <w:sz w:val="18"/>
              </w:rPr>
              <w:t>R-02, R-07</w:t>
            </w:r>
          </w:p>
        </w:tc>
        <w:tc>
          <w:tcPr>
            <w:tcW w:type="dxa" w:w="1474"/>
            <w:vAlign w:val="center"/>
          </w:tcPr>
          <w:p>
            <w:r/>
            <w:r>
              <w:rPr>
                <w:rFonts w:ascii="Arial" w:hAnsi="Arial"/>
                <w:sz w:val="18"/>
              </w:rPr>
              <w:t>IT Manager</w:t>
            </w:r>
          </w:p>
        </w:tc>
        <w:tc>
          <w:tcPr>
            <w:tcW w:type="dxa" w:w="850"/>
            <w:vAlign w:val="center"/>
          </w:tcPr>
          <w:p>
            <w:pPr>
              <w:jc w:val="center"/>
            </w:pPr>
            <w:r/>
            <w:r>
              <w:rPr>
                <w:rFonts w:ascii="Arial" w:hAnsi="Arial"/>
                <w:sz w:val="18"/>
              </w:rPr>
              <w:t>Q1 2026</w:t>
            </w:r>
          </w:p>
        </w:tc>
        <w:tc>
          <w:tcPr>
            <w:tcW w:type="dxa" w:w="907"/>
            <w:shd w:val="clear" w:fill="C00000"/>
            <w:vAlign w:val="center"/>
          </w:tcPr>
          <w:p>
            <w:pPr>
              <w:jc w:val="center"/>
            </w:pPr>
            <w:r/>
            <w:r>
              <w:rPr>
                <w:rFonts w:ascii="Arial" w:hAnsi="Arial"/>
                <w:b/>
                <w:color w:val="FFFFFF"/>
                <w:sz w:val="18"/>
              </w:rPr>
              <w:t>High</w:t>
            </w:r>
          </w:p>
        </w:tc>
      </w:tr>
      <w:tr>
        <w:tc>
          <w:tcPr>
            <w:tcW w:type="dxa" w:w="680"/>
            <w:shd w:val="clear" w:fill="F2F2F2"/>
            <w:vAlign w:val="center"/>
          </w:tcPr>
          <w:p>
            <w:pPr>
              <w:jc w:val="center"/>
            </w:pPr>
            <w:r/>
            <w:r>
              <w:rPr>
                <w:rFonts w:ascii="Arial" w:hAnsi="Arial"/>
                <w:sz w:val="18"/>
              </w:rPr>
              <w:t>T-10</w:t>
            </w:r>
          </w:p>
        </w:tc>
        <w:tc>
          <w:tcPr>
            <w:tcW w:type="dxa" w:w="3572"/>
            <w:shd w:val="clear" w:fill="F2F2F2"/>
            <w:vAlign w:val="center"/>
          </w:tcPr>
          <w:p>
            <w:r/>
            <w:r>
              <w:rPr>
                <w:rFonts w:ascii="Arial" w:hAnsi="Arial"/>
                <w:sz w:val="18"/>
              </w:rPr>
              <w:t>Enforce endpoint disk encryption via Intune</w:t>
            </w:r>
          </w:p>
        </w:tc>
        <w:tc>
          <w:tcPr>
            <w:tcW w:type="dxa" w:w="1531"/>
            <w:shd w:val="clear" w:fill="F2F2F2"/>
            <w:vAlign w:val="center"/>
          </w:tcPr>
          <w:p>
            <w:r/>
            <w:r>
              <w:rPr>
                <w:rFonts w:ascii="Arial" w:hAnsi="Arial"/>
                <w:sz w:val="18"/>
              </w:rPr>
              <w:t>R-14</w:t>
            </w:r>
          </w:p>
        </w:tc>
        <w:tc>
          <w:tcPr>
            <w:tcW w:type="dxa" w:w="1474"/>
            <w:shd w:val="clear" w:fill="F2F2F2"/>
            <w:vAlign w:val="center"/>
          </w:tcPr>
          <w:p>
            <w:r/>
            <w:r>
              <w:rPr>
                <w:rFonts w:ascii="Arial" w:hAnsi="Arial"/>
                <w:sz w:val="18"/>
              </w:rPr>
              <w:t>IT Manager</w:t>
            </w:r>
          </w:p>
        </w:tc>
        <w:tc>
          <w:tcPr>
            <w:tcW w:type="dxa" w:w="850"/>
            <w:shd w:val="clear" w:fill="F2F2F2"/>
            <w:vAlign w:val="center"/>
          </w:tcPr>
          <w:p>
            <w:pPr>
              <w:jc w:val="center"/>
            </w:pPr>
            <w:r/>
            <w:r>
              <w:rPr>
                <w:rFonts w:ascii="Arial" w:hAnsi="Arial"/>
                <w:sz w:val="18"/>
              </w:rPr>
              <w:t>Q1 2026</w:t>
            </w:r>
          </w:p>
        </w:tc>
        <w:tc>
          <w:tcPr>
            <w:tcW w:type="dxa" w:w="907"/>
            <w:shd w:val="clear" w:fill="FFD966"/>
            <w:vAlign w:val="center"/>
          </w:tcPr>
          <w:p>
            <w:pPr>
              <w:jc w:val="center"/>
            </w:pPr>
            <w:r/>
            <w:r>
              <w:rPr>
                <w:rFonts w:ascii="Arial" w:hAnsi="Arial"/>
                <w:b/>
                <w:sz w:val="18"/>
              </w:rPr>
              <w:t>Medium</w:t>
            </w:r>
          </w:p>
        </w:tc>
      </w:tr>
      <w:tr>
        <w:tc>
          <w:tcPr>
            <w:tcW w:type="dxa" w:w="680"/>
            <w:vAlign w:val="center"/>
          </w:tcPr>
          <w:p>
            <w:pPr>
              <w:jc w:val="center"/>
            </w:pPr>
            <w:r/>
            <w:r>
              <w:rPr>
                <w:rFonts w:ascii="Arial" w:hAnsi="Arial"/>
                <w:sz w:val="18"/>
              </w:rPr>
              <w:t>T-02</w:t>
            </w:r>
          </w:p>
        </w:tc>
        <w:tc>
          <w:tcPr>
            <w:tcW w:type="dxa" w:w="3572"/>
            <w:vAlign w:val="center"/>
          </w:tcPr>
          <w:p>
            <w:r/>
            <w:r>
              <w:rPr>
                <w:rFonts w:ascii="Arial" w:hAnsi="Arial"/>
                <w:sz w:val="18"/>
              </w:rPr>
              <w:t>Deploy Privileged Access Management (PAM)</w:t>
            </w:r>
          </w:p>
        </w:tc>
        <w:tc>
          <w:tcPr>
            <w:tcW w:type="dxa" w:w="1531"/>
            <w:vAlign w:val="center"/>
          </w:tcPr>
          <w:p>
            <w:r/>
            <w:r>
              <w:rPr>
                <w:rFonts w:ascii="Arial" w:hAnsi="Arial"/>
                <w:sz w:val="18"/>
              </w:rPr>
              <w:t>R-04</w:t>
            </w:r>
          </w:p>
        </w:tc>
        <w:tc>
          <w:tcPr>
            <w:tcW w:type="dxa" w:w="1474"/>
            <w:vAlign w:val="center"/>
          </w:tcPr>
          <w:p>
            <w:r/>
            <w:r>
              <w:rPr>
                <w:rFonts w:ascii="Arial" w:hAnsi="Arial"/>
                <w:sz w:val="18"/>
              </w:rPr>
              <w:t>IT Security</w:t>
            </w:r>
          </w:p>
        </w:tc>
        <w:tc>
          <w:tcPr>
            <w:tcW w:type="dxa" w:w="850"/>
            <w:vAlign w:val="center"/>
          </w:tcPr>
          <w:p>
            <w:pPr>
              <w:jc w:val="center"/>
            </w:pPr>
            <w:r/>
            <w:r>
              <w:rPr>
                <w:rFonts w:ascii="Arial" w:hAnsi="Arial"/>
                <w:sz w:val="18"/>
              </w:rPr>
              <w:t>Q2 2026</w:t>
            </w:r>
          </w:p>
        </w:tc>
        <w:tc>
          <w:tcPr>
            <w:tcW w:type="dxa" w:w="907"/>
            <w:shd w:val="clear" w:fill="C00000"/>
            <w:vAlign w:val="center"/>
          </w:tcPr>
          <w:p>
            <w:pPr>
              <w:jc w:val="center"/>
            </w:pPr>
            <w:r/>
            <w:r>
              <w:rPr>
                <w:rFonts w:ascii="Arial" w:hAnsi="Arial"/>
                <w:b/>
                <w:color w:val="FFFFFF"/>
                <w:sz w:val="18"/>
              </w:rPr>
              <w:t>High</w:t>
            </w:r>
          </w:p>
        </w:tc>
      </w:tr>
      <w:tr>
        <w:tc>
          <w:tcPr>
            <w:tcW w:type="dxa" w:w="680"/>
            <w:shd w:val="clear" w:fill="F2F2F2"/>
            <w:vAlign w:val="center"/>
          </w:tcPr>
          <w:p>
            <w:pPr>
              <w:jc w:val="center"/>
            </w:pPr>
            <w:r/>
            <w:r>
              <w:rPr>
                <w:rFonts w:ascii="Arial" w:hAnsi="Arial"/>
                <w:sz w:val="18"/>
              </w:rPr>
              <w:t>T-04</w:t>
            </w:r>
          </w:p>
        </w:tc>
        <w:tc>
          <w:tcPr>
            <w:tcW w:type="dxa" w:w="3572"/>
            <w:shd w:val="clear" w:fill="F2F2F2"/>
            <w:vAlign w:val="center"/>
          </w:tcPr>
          <w:p>
            <w:r/>
            <w:r>
              <w:rPr>
                <w:rFonts w:ascii="Arial" w:hAnsi="Arial"/>
                <w:sz w:val="18"/>
              </w:rPr>
              <w:t>Monthly patch cycle + vulnerability scanning</w:t>
            </w:r>
          </w:p>
        </w:tc>
        <w:tc>
          <w:tcPr>
            <w:tcW w:type="dxa" w:w="1531"/>
            <w:shd w:val="clear" w:fill="F2F2F2"/>
            <w:vAlign w:val="center"/>
          </w:tcPr>
          <w:p>
            <w:r/>
            <w:r>
              <w:rPr>
                <w:rFonts w:ascii="Arial" w:hAnsi="Arial"/>
                <w:sz w:val="18"/>
              </w:rPr>
              <w:t>R-02, R-06</w:t>
            </w:r>
          </w:p>
        </w:tc>
        <w:tc>
          <w:tcPr>
            <w:tcW w:type="dxa" w:w="1474"/>
            <w:shd w:val="clear" w:fill="F2F2F2"/>
            <w:vAlign w:val="center"/>
          </w:tcPr>
          <w:p>
            <w:r/>
            <w:r>
              <w:rPr>
                <w:rFonts w:ascii="Arial" w:hAnsi="Arial"/>
                <w:sz w:val="18"/>
              </w:rPr>
              <w:t>IT Manager</w:t>
            </w:r>
          </w:p>
        </w:tc>
        <w:tc>
          <w:tcPr>
            <w:tcW w:type="dxa" w:w="850"/>
            <w:shd w:val="clear" w:fill="F2F2F2"/>
            <w:vAlign w:val="center"/>
          </w:tcPr>
          <w:p>
            <w:pPr>
              <w:jc w:val="center"/>
            </w:pPr>
            <w:r/>
            <w:r>
              <w:rPr>
                <w:rFonts w:ascii="Arial" w:hAnsi="Arial"/>
                <w:sz w:val="18"/>
              </w:rPr>
              <w:t>Q2 2026</w:t>
            </w:r>
          </w:p>
        </w:tc>
        <w:tc>
          <w:tcPr>
            <w:tcW w:type="dxa" w:w="907"/>
            <w:shd w:val="clear" w:fill="C00000"/>
            <w:vAlign w:val="center"/>
          </w:tcPr>
          <w:p>
            <w:pPr>
              <w:jc w:val="center"/>
            </w:pPr>
            <w:r/>
            <w:r>
              <w:rPr>
                <w:rFonts w:ascii="Arial" w:hAnsi="Arial"/>
                <w:b/>
                <w:color w:val="FFFFFF"/>
                <w:sz w:val="18"/>
              </w:rPr>
              <w:t>High</w:t>
            </w:r>
          </w:p>
        </w:tc>
      </w:tr>
      <w:tr>
        <w:tc>
          <w:tcPr>
            <w:tcW w:type="dxa" w:w="680"/>
            <w:vAlign w:val="center"/>
          </w:tcPr>
          <w:p>
            <w:pPr>
              <w:jc w:val="center"/>
            </w:pPr>
            <w:r/>
            <w:r>
              <w:rPr>
                <w:rFonts w:ascii="Arial" w:hAnsi="Arial"/>
                <w:sz w:val="18"/>
              </w:rPr>
              <w:t>T-06</w:t>
            </w:r>
          </w:p>
        </w:tc>
        <w:tc>
          <w:tcPr>
            <w:tcW w:type="dxa" w:w="3572"/>
            <w:vAlign w:val="center"/>
          </w:tcPr>
          <w:p>
            <w:r/>
            <w:r>
              <w:rPr>
                <w:rFonts w:ascii="Arial" w:hAnsi="Arial"/>
                <w:sz w:val="18"/>
              </w:rPr>
              <w:t>EDR deployment and network segmentation</w:t>
            </w:r>
          </w:p>
        </w:tc>
        <w:tc>
          <w:tcPr>
            <w:tcW w:type="dxa" w:w="1531"/>
            <w:vAlign w:val="center"/>
          </w:tcPr>
          <w:p>
            <w:r/>
            <w:r>
              <w:rPr>
                <w:rFonts w:ascii="Arial" w:hAnsi="Arial"/>
                <w:sz w:val="18"/>
              </w:rPr>
              <w:t>R-02, R-13</w:t>
            </w:r>
          </w:p>
        </w:tc>
        <w:tc>
          <w:tcPr>
            <w:tcW w:type="dxa" w:w="1474"/>
            <w:vAlign w:val="center"/>
          </w:tcPr>
          <w:p>
            <w:r/>
            <w:r>
              <w:rPr>
                <w:rFonts w:ascii="Arial" w:hAnsi="Arial"/>
                <w:sz w:val="18"/>
              </w:rPr>
              <w:t>IT Director</w:t>
            </w:r>
          </w:p>
        </w:tc>
        <w:tc>
          <w:tcPr>
            <w:tcW w:type="dxa" w:w="850"/>
            <w:vAlign w:val="center"/>
          </w:tcPr>
          <w:p>
            <w:pPr>
              <w:jc w:val="center"/>
            </w:pPr>
            <w:r/>
            <w:r>
              <w:rPr>
                <w:rFonts w:ascii="Arial" w:hAnsi="Arial"/>
                <w:sz w:val="18"/>
              </w:rPr>
              <w:t>Q2 2026</w:t>
            </w:r>
          </w:p>
        </w:tc>
        <w:tc>
          <w:tcPr>
            <w:tcW w:type="dxa" w:w="907"/>
            <w:shd w:val="clear" w:fill="C00000"/>
            <w:vAlign w:val="center"/>
          </w:tcPr>
          <w:p>
            <w:pPr>
              <w:jc w:val="center"/>
            </w:pPr>
            <w:r/>
            <w:r>
              <w:rPr>
                <w:rFonts w:ascii="Arial" w:hAnsi="Arial"/>
                <w:b/>
                <w:color w:val="FFFFFF"/>
                <w:sz w:val="18"/>
              </w:rPr>
              <w:t>High</w:t>
            </w:r>
          </w:p>
        </w:tc>
      </w:tr>
      <w:tr>
        <w:tc>
          <w:tcPr>
            <w:tcW w:type="dxa" w:w="680"/>
            <w:shd w:val="clear" w:fill="F2F2F2"/>
            <w:vAlign w:val="center"/>
          </w:tcPr>
          <w:p>
            <w:pPr>
              <w:jc w:val="center"/>
            </w:pPr>
            <w:r/>
            <w:r>
              <w:rPr>
                <w:rFonts w:ascii="Arial" w:hAnsi="Arial"/>
                <w:sz w:val="18"/>
              </w:rPr>
              <w:t>T-09</w:t>
            </w:r>
          </w:p>
        </w:tc>
        <w:tc>
          <w:tcPr>
            <w:tcW w:type="dxa" w:w="3572"/>
            <w:shd w:val="clear" w:fill="F2F2F2"/>
            <w:vAlign w:val="center"/>
          </w:tcPr>
          <w:p>
            <w:r/>
            <w:r>
              <w:rPr>
                <w:rFonts w:ascii="Arial" w:hAnsi="Arial"/>
                <w:sz w:val="18"/>
              </w:rPr>
              <w:t>Access recertification; same-day leaver deprovisioning</w:t>
            </w:r>
          </w:p>
        </w:tc>
        <w:tc>
          <w:tcPr>
            <w:tcW w:type="dxa" w:w="1531"/>
            <w:shd w:val="clear" w:fill="F2F2F2"/>
            <w:vAlign w:val="center"/>
          </w:tcPr>
          <w:p>
            <w:r/>
            <w:r>
              <w:rPr>
                <w:rFonts w:ascii="Arial" w:hAnsi="Arial"/>
                <w:sz w:val="18"/>
              </w:rPr>
              <w:t>R-04, R-08</w:t>
            </w:r>
          </w:p>
        </w:tc>
        <w:tc>
          <w:tcPr>
            <w:tcW w:type="dxa" w:w="1474"/>
            <w:shd w:val="clear" w:fill="F2F2F2"/>
            <w:vAlign w:val="center"/>
          </w:tcPr>
          <w:p>
            <w:r/>
            <w:r>
              <w:rPr>
                <w:rFonts w:ascii="Arial" w:hAnsi="Arial"/>
                <w:sz w:val="18"/>
              </w:rPr>
              <w:t>HR + IT Security</w:t>
            </w:r>
          </w:p>
        </w:tc>
        <w:tc>
          <w:tcPr>
            <w:tcW w:type="dxa" w:w="850"/>
            <w:shd w:val="clear" w:fill="F2F2F2"/>
            <w:vAlign w:val="center"/>
          </w:tcPr>
          <w:p>
            <w:pPr>
              <w:jc w:val="center"/>
            </w:pPr>
            <w:r/>
            <w:r>
              <w:rPr>
                <w:rFonts w:ascii="Arial" w:hAnsi="Arial"/>
                <w:sz w:val="18"/>
              </w:rPr>
              <w:t>Q2 2026</w:t>
            </w:r>
          </w:p>
        </w:tc>
        <w:tc>
          <w:tcPr>
            <w:tcW w:type="dxa" w:w="907"/>
            <w:shd w:val="clear" w:fill="FFD966"/>
            <w:vAlign w:val="center"/>
          </w:tcPr>
          <w:p>
            <w:pPr>
              <w:jc w:val="center"/>
            </w:pPr>
            <w:r/>
            <w:r>
              <w:rPr>
                <w:rFonts w:ascii="Arial" w:hAnsi="Arial"/>
                <w:b/>
                <w:sz w:val="18"/>
              </w:rPr>
              <w:t>Medium</w:t>
            </w:r>
          </w:p>
        </w:tc>
      </w:tr>
      <w:tr>
        <w:tc>
          <w:tcPr>
            <w:tcW w:type="dxa" w:w="680"/>
            <w:vAlign w:val="center"/>
          </w:tcPr>
          <w:p>
            <w:pPr>
              <w:jc w:val="center"/>
            </w:pPr>
            <w:r/>
            <w:r>
              <w:rPr>
                <w:rFonts w:ascii="Arial" w:hAnsi="Arial"/>
                <w:sz w:val="18"/>
              </w:rPr>
              <w:t>T-07</w:t>
            </w:r>
          </w:p>
        </w:tc>
        <w:tc>
          <w:tcPr>
            <w:tcW w:type="dxa" w:w="3572"/>
            <w:vAlign w:val="center"/>
          </w:tcPr>
          <w:p>
            <w:r/>
            <w:r>
              <w:rPr>
                <w:rFonts w:ascii="Arial" w:hAnsi="Arial"/>
                <w:sz w:val="18"/>
              </w:rPr>
              <w:t>Vendor security assessment program</w:t>
            </w:r>
          </w:p>
        </w:tc>
        <w:tc>
          <w:tcPr>
            <w:tcW w:type="dxa" w:w="1531"/>
            <w:vAlign w:val="center"/>
          </w:tcPr>
          <w:p>
            <w:r/>
            <w:r>
              <w:rPr>
                <w:rFonts w:ascii="Arial" w:hAnsi="Arial"/>
                <w:sz w:val="18"/>
              </w:rPr>
              <w:t>R-10</w:t>
            </w:r>
          </w:p>
        </w:tc>
        <w:tc>
          <w:tcPr>
            <w:tcW w:type="dxa" w:w="1474"/>
            <w:vAlign w:val="center"/>
          </w:tcPr>
          <w:p>
            <w:r/>
            <w:r>
              <w:rPr>
                <w:rFonts w:ascii="Arial" w:hAnsi="Arial"/>
                <w:sz w:val="18"/>
              </w:rPr>
              <w:t>Procurement + IT</w:t>
            </w:r>
          </w:p>
        </w:tc>
        <w:tc>
          <w:tcPr>
            <w:tcW w:type="dxa" w:w="850"/>
            <w:vAlign w:val="center"/>
          </w:tcPr>
          <w:p>
            <w:pPr>
              <w:jc w:val="center"/>
            </w:pPr>
            <w:r/>
            <w:r>
              <w:rPr>
                <w:rFonts w:ascii="Arial" w:hAnsi="Arial"/>
                <w:sz w:val="18"/>
              </w:rPr>
              <w:t>Q3 2026</w:t>
            </w:r>
          </w:p>
        </w:tc>
        <w:tc>
          <w:tcPr>
            <w:tcW w:type="dxa" w:w="907"/>
            <w:shd w:val="clear" w:fill="FFD966"/>
            <w:vAlign w:val="center"/>
          </w:tcPr>
          <w:p>
            <w:pPr>
              <w:jc w:val="center"/>
            </w:pPr>
            <w:r/>
            <w:r>
              <w:rPr>
                <w:rFonts w:ascii="Arial" w:hAnsi="Arial"/>
                <w:b/>
                <w:sz w:val="18"/>
              </w:rPr>
              <w:t>Medium</w:t>
            </w:r>
          </w:p>
        </w:tc>
      </w:tr>
      <w:tr>
        <w:tc>
          <w:tcPr>
            <w:tcW w:type="dxa" w:w="680"/>
            <w:shd w:val="clear" w:fill="F2F2F2"/>
            <w:vAlign w:val="center"/>
          </w:tcPr>
          <w:p>
            <w:pPr>
              <w:jc w:val="center"/>
            </w:pPr>
            <w:r/>
            <w:r>
              <w:rPr>
                <w:rFonts w:ascii="Arial" w:hAnsi="Arial"/>
                <w:sz w:val="18"/>
              </w:rPr>
              <w:t>T-08</w:t>
            </w:r>
          </w:p>
        </w:tc>
        <w:tc>
          <w:tcPr>
            <w:tcW w:type="dxa" w:w="3572"/>
            <w:shd w:val="clear" w:fill="F2F2F2"/>
            <w:vAlign w:val="center"/>
          </w:tcPr>
          <w:p>
            <w:r/>
            <w:r>
              <w:rPr>
                <w:rFonts w:ascii="Arial" w:hAnsi="Arial"/>
                <w:sz w:val="18"/>
              </w:rPr>
              <w:t>DLP rollout + data classification</w:t>
            </w:r>
          </w:p>
        </w:tc>
        <w:tc>
          <w:tcPr>
            <w:tcW w:type="dxa" w:w="1531"/>
            <w:shd w:val="clear" w:fill="F2F2F2"/>
            <w:vAlign w:val="center"/>
          </w:tcPr>
          <w:p>
            <w:r/>
            <w:r>
              <w:rPr>
                <w:rFonts w:ascii="Arial" w:hAnsi="Arial"/>
                <w:sz w:val="18"/>
              </w:rPr>
              <w:t>R-08, R-09, R-12</w:t>
            </w:r>
          </w:p>
        </w:tc>
        <w:tc>
          <w:tcPr>
            <w:tcW w:type="dxa" w:w="1474"/>
            <w:shd w:val="clear" w:fill="F2F2F2"/>
            <w:vAlign w:val="center"/>
          </w:tcPr>
          <w:p>
            <w:r/>
            <w:r>
              <w:rPr>
                <w:rFonts w:ascii="Arial" w:hAnsi="Arial"/>
                <w:sz w:val="18"/>
              </w:rPr>
              <w:t>IT Security</w:t>
            </w:r>
          </w:p>
        </w:tc>
        <w:tc>
          <w:tcPr>
            <w:tcW w:type="dxa" w:w="850"/>
            <w:shd w:val="clear" w:fill="F2F2F2"/>
            <w:vAlign w:val="center"/>
          </w:tcPr>
          <w:p>
            <w:pPr>
              <w:jc w:val="center"/>
            </w:pPr>
            <w:r/>
            <w:r>
              <w:rPr>
                <w:rFonts w:ascii="Arial" w:hAnsi="Arial"/>
                <w:sz w:val="18"/>
              </w:rPr>
              <w:t>Q3 2026</w:t>
            </w:r>
          </w:p>
        </w:tc>
        <w:tc>
          <w:tcPr>
            <w:tcW w:type="dxa" w:w="907"/>
            <w:shd w:val="clear" w:fill="FFD966"/>
            <w:vAlign w:val="center"/>
          </w:tcPr>
          <w:p>
            <w:pPr>
              <w:jc w:val="center"/>
            </w:pPr>
            <w:r/>
            <w:r>
              <w:rPr>
                <w:rFonts w:ascii="Arial" w:hAnsi="Arial"/>
                <w:b/>
                <w:sz w:val="18"/>
              </w:rPr>
              <w:t>Medium</w:t>
            </w:r>
          </w:p>
        </w:tc>
      </w:tr>
      <w:tr>
        <w:tc>
          <w:tcPr>
            <w:tcW w:type="dxa" w:w="680"/>
            <w:vAlign w:val="center"/>
          </w:tcPr>
          <w:p>
            <w:pPr>
              <w:jc w:val="center"/>
            </w:pPr>
            <w:r/>
            <w:r>
              <w:rPr>
                <w:rFonts w:ascii="Arial" w:hAnsi="Arial"/>
                <w:sz w:val="18"/>
              </w:rPr>
              <w:t>T-11</w:t>
            </w:r>
          </w:p>
        </w:tc>
        <w:tc>
          <w:tcPr>
            <w:tcW w:type="dxa" w:w="3572"/>
            <w:vAlign w:val="center"/>
          </w:tcPr>
          <w:p>
            <w:r/>
            <w:r>
              <w:rPr>
                <w:rFonts w:ascii="Arial" w:hAnsi="Arial"/>
                <w:sz w:val="18"/>
              </w:rPr>
              <w:t>Network redundancy for critical sites; DR runbook</w:t>
            </w:r>
          </w:p>
        </w:tc>
        <w:tc>
          <w:tcPr>
            <w:tcW w:type="dxa" w:w="1531"/>
            <w:vAlign w:val="center"/>
          </w:tcPr>
          <w:p>
            <w:r/>
            <w:r>
              <w:rPr>
                <w:rFonts w:ascii="Arial" w:hAnsi="Arial"/>
                <w:sz w:val="18"/>
              </w:rPr>
              <w:t>R-11</w:t>
            </w:r>
          </w:p>
        </w:tc>
        <w:tc>
          <w:tcPr>
            <w:tcW w:type="dxa" w:w="1474"/>
            <w:vAlign w:val="center"/>
          </w:tcPr>
          <w:p>
            <w:r/>
            <w:r>
              <w:rPr>
                <w:rFonts w:ascii="Arial" w:hAnsi="Arial"/>
                <w:sz w:val="18"/>
              </w:rPr>
              <w:t>Network Admin</w:t>
            </w:r>
          </w:p>
        </w:tc>
        <w:tc>
          <w:tcPr>
            <w:tcW w:type="dxa" w:w="850"/>
            <w:vAlign w:val="center"/>
          </w:tcPr>
          <w:p>
            <w:pPr>
              <w:jc w:val="center"/>
            </w:pPr>
            <w:r/>
            <w:r>
              <w:rPr>
                <w:rFonts w:ascii="Arial" w:hAnsi="Arial"/>
                <w:sz w:val="18"/>
              </w:rPr>
              <w:t>Q3 2026</w:t>
            </w:r>
          </w:p>
        </w:tc>
        <w:tc>
          <w:tcPr>
            <w:tcW w:type="dxa" w:w="907"/>
            <w:shd w:val="clear" w:fill="FFD966"/>
            <w:vAlign w:val="center"/>
          </w:tcPr>
          <w:p>
            <w:pPr>
              <w:jc w:val="center"/>
            </w:pPr>
            <w:r/>
            <w:r>
              <w:rPr>
                <w:rFonts w:ascii="Arial" w:hAnsi="Arial"/>
                <w:b/>
                <w:sz w:val="18"/>
              </w:rPr>
              <w:t>Medium</w:t>
            </w:r>
          </w:p>
        </w:tc>
      </w:tr>
      <w:tr>
        <w:tc>
          <w:tcPr>
            <w:tcW w:type="dxa" w:w="680"/>
            <w:shd w:val="clear" w:fill="F2F2F2"/>
            <w:vAlign w:val="center"/>
          </w:tcPr>
          <w:p>
            <w:pPr>
              <w:jc w:val="center"/>
            </w:pPr>
            <w:r/>
            <w:r>
              <w:rPr>
                <w:rFonts w:ascii="Arial" w:hAnsi="Arial"/>
                <w:sz w:val="18"/>
              </w:rPr>
              <w:t>T-12</w:t>
            </w:r>
          </w:p>
        </w:tc>
        <w:tc>
          <w:tcPr>
            <w:tcW w:type="dxa" w:w="3572"/>
            <w:shd w:val="clear" w:fill="F2F2F2"/>
            <w:vAlign w:val="center"/>
          </w:tcPr>
          <w:p>
            <w:r/>
            <w:r>
              <w:rPr>
                <w:rFonts w:ascii="Arial" w:hAnsi="Arial"/>
                <w:sz w:val="18"/>
              </w:rPr>
              <w:t>Server room badge access + CCTV</w:t>
            </w:r>
          </w:p>
        </w:tc>
        <w:tc>
          <w:tcPr>
            <w:tcW w:type="dxa" w:w="1531"/>
            <w:shd w:val="clear" w:fill="F2F2F2"/>
            <w:vAlign w:val="center"/>
          </w:tcPr>
          <w:p>
            <w:r/>
            <w:r>
              <w:rPr>
                <w:rFonts w:ascii="Arial" w:hAnsi="Arial"/>
                <w:sz w:val="18"/>
              </w:rPr>
              <w:t>R-16</w:t>
            </w:r>
          </w:p>
        </w:tc>
        <w:tc>
          <w:tcPr>
            <w:tcW w:type="dxa" w:w="1474"/>
            <w:shd w:val="clear" w:fill="F2F2F2"/>
            <w:vAlign w:val="center"/>
          </w:tcPr>
          <w:p>
            <w:r/>
            <w:r>
              <w:rPr>
                <w:rFonts w:ascii="Arial" w:hAnsi="Arial"/>
                <w:sz w:val="18"/>
              </w:rPr>
              <w:t>Facilities</w:t>
            </w:r>
          </w:p>
        </w:tc>
        <w:tc>
          <w:tcPr>
            <w:tcW w:type="dxa" w:w="850"/>
            <w:shd w:val="clear" w:fill="F2F2F2"/>
            <w:vAlign w:val="center"/>
          </w:tcPr>
          <w:p>
            <w:pPr>
              <w:jc w:val="center"/>
            </w:pPr>
            <w:r/>
            <w:r>
              <w:rPr>
                <w:rFonts w:ascii="Arial" w:hAnsi="Arial"/>
                <w:sz w:val="18"/>
              </w:rPr>
              <w:t>Q3 2026</w:t>
            </w:r>
          </w:p>
        </w:tc>
        <w:tc>
          <w:tcPr>
            <w:tcW w:type="dxa" w:w="907"/>
            <w:shd w:val="clear" w:fill="70AD47"/>
            <w:vAlign w:val="center"/>
          </w:tcPr>
          <w:p>
            <w:pPr>
              <w:jc w:val="center"/>
            </w:pPr>
            <w:r/>
            <w:r>
              <w:rPr>
                <w:rFonts w:ascii="Arial" w:hAnsi="Arial"/>
                <w:b/>
                <w:color w:val="FFFFFF"/>
                <w:sz w:val="18"/>
              </w:rPr>
              <w:t>Low</w:t>
            </w:r>
          </w:p>
        </w:tc>
      </w:tr>
    </w:tbl>
    <w:p>
      <w:pPr>
        <w:pStyle w:val="Heading1"/>
      </w:pPr>
      <w:r>
        <w:t>10. Key Recommendations</w:t>
      </w:r>
    </w:p>
    <w:p>
      <w:pPr>
        <w:pStyle w:val="ListBullet"/>
        <w:spacing w:after="80"/>
      </w:pPr>
      <w:r>
        <w:rPr>
          <w:b/>
          <w:sz w:val="22"/>
        </w:rPr>
        <w:t xml:space="preserve">Enforce MFA for all users </w:t>
      </w:r>
      <w:r>
        <w:rPr>
          <w:sz w:val="22"/>
        </w:rPr>
        <w:t>and block legacy authentication across Microsoft 365 — the single highest-leverage control identified (A.8.5, A.5.17).</w:t>
      </w:r>
    </w:p>
    <w:p>
      <w:pPr>
        <w:pStyle w:val="ListBullet"/>
        <w:spacing w:after="80"/>
      </w:pPr>
      <w:r>
        <w:rPr>
          <w:b/>
          <w:sz w:val="22"/>
        </w:rPr>
        <w:t xml:space="preserve">Implement Privileged Access Management </w:t>
      </w:r>
      <w:r>
        <w:rPr>
          <w:sz w:val="22"/>
        </w:rPr>
        <w:t>with credential vaulting, session recording, and elimination of shared admin accounts (A.8.2).</w:t>
      </w:r>
    </w:p>
    <w:p>
      <w:pPr>
        <w:pStyle w:val="ListBullet"/>
        <w:spacing w:after="80"/>
      </w:pPr>
      <w:r>
        <w:rPr>
          <w:b/>
          <w:sz w:val="22"/>
        </w:rPr>
        <w:t xml:space="preserve">Run quarterly phishing simulations </w:t>
      </w:r>
      <w:r>
        <w:rPr>
          <w:sz w:val="22"/>
        </w:rPr>
        <w:t>backed by role-based awareness training and a simple phishing-report mechanism (A.6.3).</w:t>
      </w:r>
    </w:p>
    <w:p>
      <w:pPr>
        <w:pStyle w:val="ListBullet"/>
        <w:spacing w:after="80"/>
      </w:pPr>
      <w:r>
        <w:rPr>
          <w:b/>
          <w:sz w:val="22"/>
        </w:rPr>
        <w:t xml:space="preserve">Formalize patch management </w:t>
      </w:r>
      <w:r>
        <w:rPr>
          <w:sz w:val="22"/>
        </w:rPr>
        <w:t>with a monthly cycle, severity-based SLAs, and recurring vulnerability scanning (A.8.8).</w:t>
      </w:r>
    </w:p>
    <w:p>
      <w:pPr>
        <w:pStyle w:val="ListBullet"/>
        <w:spacing w:after="80"/>
      </w:pPr>
      <w:r>
        <w:rPr>
          <w:b/>
          <w:sz w:val="22"/>
        </w:rPr>
        <w:t xml:space="preserve">Test backups quarterly </w:t>
      </w:r>
      <w:r>
        <w:rPr>
          <w:sz w:val="22"/>
        </w:rPr>
        <w:t>and adopt a 3-2-1 strategy with an offline or immutable copy isolated from production credentials (A.8.13).</w:t>
      </w:r>
    </w:p>
    <w:p>
      <w:pPr>
        <w:pStyle w:val="ListBullet"/>
        <w:spacing w:after="80"/>
      </w:pPr>
      <w:r>
        <w:rPr>
          <w:b/>
          <w:sz w:val="22"/>
        </w:rPr>
        <w:t xml:space="preserve">Assess vendor security </w:t>
      </w:r>
      <w:r>
        <w:rPr>
          <w:sz w:val="22"/>
        </w:rPr>
        <w:t>before onboarding and annually thereafter, with least-privilege, time-bound remote access (A.5.19–A.5.22).</w:t>
      </w:r>
    </w:p>
    <w:p>
      <w:pPr>
        <w:pStyle w:val="Heading1"/>
      </w:pPr>
      <w:r>
        <w:t>11. Conclusion</w:t>
      </w:r>
    </w:p>
    <w:p>
      <w:pPr>
        <w:spacing w:after="160"/>
        <w:jc w:val="both"/>
      </w:pPr>
      <w:r>
        <w:rPr>
          <w:b w:val="0"/>
          <w:i w:val="0"/>
          <w:sz w:val="22"/>
        </w:rPr>
        <w:t>AKFA Trading Group faces a risk profile typical of a diversified enterprise that has grown faster than its security governance: strong business platforms undermined by identity, patching, and recoverability gaps. Eleven high risks require treatment, but the majority can be materially reduced with configuration and process controls (MFA enforcement, restore testing, patch cadence) before capital investments are required. Executing the Q1–Q2 2026 treatment actions is projected to eliminate all likelihood-3 high risks and reduce the group’s aggregate exposure to a defensible, monitored level. The risk register should be reviewed quarterly and re-baselined after each major change or incident.</w:t>
      </w:r>
    </w:p>
    <w:p>
      <w:pPr>
        <w:pStyle w:val="Heading1"/>
      </w:pPr>
      <w:r>
        <w:t>Appendix A: Related Documents</w:t>
      </w:r>
    </w:p>
    <w:p>
      <w:pPr>
        <w:pStyle w:val="ListBullet"/>
        <w:spacing w:after="80"/>
      </w:pPr>
      <w:r>
        <w:rPr>
          <w:b/>
          <w:sz w:val="22"/>
        </w:rPr>
        <w:t xml:space="preserve">AKFA_Risk_Register.xlsx </w:t>
      </w:r>
      <w:r>
        <w:rPr>
          <w:sz w:val="22"/>
        </w:rPr>
        <w:t>— full risk register: asset inventory with CIA ratings, 18 scored risks with Annex A mappings, 3×3 heat map, and treatment plan tracker.</w:t>
      </w:r>
    </w:p>
    <w:p>
      <w:pPr>
        <w:pStyle w:val="ListBullet"/>
        <w:spacing w:after="80"/>
      </w:pPr>
      <w:r>
        <w:rPr>
          <w:b/>
          <w:sz w:val="22"/>
        </w:rPr>
        <w:t xml:space="preserve">ISO/IEC 27001:2022 </w:t>
      </w:r>
      <w:r>
        <w:rPr>
          <w:sz w:val="22"/>
        </w:rPr>
        <w:t>— Information security management systems — Requirements (Annex A control references used throughout).</w:t>
      </w:r>
    </w:p>
    <w:p>
      <w:pPr>
        <w:pStyle w:val="ListBullet"/>
        <w:spacing w:after="80"/>
      </w:pPr>
      <w:r>
        <w:rPr>
          <w:b/>
          <w:sz w:val="22"/>
        </w:rPr>
        <w:t xml:space="preserve">Saudi PDPL </w:t>
      </w:r>
      <w:r>
        <w:rPr>
          <w:sz w:val="22"/>
        </w:rPr>
        <w:t>— Personal Data Protection Law, relevant to customer and employee PII processing.</w:t>
      </w:r>
    </w:p>
    <w:sectPr w:rsidR="00FC693F" w:rsidRPr="0006063C" w:rsidSect="00034616">
      <w:headerReference w:type="default" r:id="rId9"/>
      <w:footerReference w:type="default" r:id="rId10"/>
      <w:headerReference w:type="first" r:id="rId11"/>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Page </w:t>
    </w:r>
    <w:fldSimple w:instr="PAGE">
      <w:r>
        <w:rPr>
          <w:sz w:val="16"/>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2E5FA3"/>
      </w:pBdr>
    </w:pPr>
    <w:r/>
    <w:r>
      <w:rPr>
        <w:rFonts w:ascii="Arial" w:hAnsi="Arial"/>
        <w:color w:val="595959"/>
        <w:sz w:val="16"/>
      </w:rPr>
      <w:t>AKFA Trading Group — Information Security Risk Assessment</w:t>
    </w:r>
    <w:r>
      <w:rPr>
        <w:rFonts w:ascii="Arial" w:hAnsi="Arial"/>
        <w:color w:val="595959"/>
        <w:sz w:val="16"/>
      </w:rPr>
      <w:t xml:space="preserve">   |   </w:t>
    </w:r>
    <w:r>
      <w:rPr>
        <w:rFonts w:ascii="Arial" w:hAnsi="Arial"/>
        <w:b/>
        <w:color w:val="595959"/>
        <w:sz w:val="16"/>
      </w:rPr>
      <w:t>Portfolio Case Study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A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Information Security Risk Assessment - AKFA Trading Group</dc:title>
  <dc:subject>ISO/IEC 27001:2022 Risk Assessment</dc:subject>
  <dc:creator>Reem Ibrahim</dc:creator>
  <cp:keywords/>
  <dc:description/>
  <cp:lastModifiedBy>Reem Ibrahim</cp:lastModifiedBy>
  <cp:revision>1</cp:revision>
  <dcterms:created xsi:type="dcterms:W3CDTF">2013-12-23T23:15:00Z</dcterms:created>
  <dcterms:modified xsi:type="dcterms:W3CDTF">2013-12-23T23:15:00Z</dcterms:modified>
  <cp:category/>
</cp:coreProperties>
</file>