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3B942" w14:textId="77777777" w:rsidR="000109CF" w:rsidRDefault="000109CF" w:rsidP="00645D5F">
      <w:pPr>
        <w:tabs>
          <w:tab w:val="num" w:pos="720"/>
        </w:tabs>
        <w:spacing w:after="0" w:line="432" w:lineRule="atLeast"/>
        <w:ind w:left="720" w:hanging="360"/>
      </w:pPr>
    </w:p>
    <w:p w14:paraId="52E60FDF" w14:textId="4FD63908" w:rsidR="000109CF" w:rsidRPr="000109CF" w:rsidRDefault="000109CF" w:rsidP="000109CF">
      <w:pPr>
        <w:spacing w:after="0" w:line="432" w:lineRule="atLeast"/>
        <w:ind w:left="720"/>
        <w:rPr>
          <w:rFonts w:ascii="Gotham-Rounded-Book" w:eastAsia="Times New Roman" w:hAnsi="Gotham-Rounded-Book" w:cs="Times New Roman"/>
          <w:b/>
          <w:bCs/>
          <w:sz w:val="28"/>
          <w:szCs w:val="28"/>
        </w:rPr>
      </w:pPr>
      <w:r w:rsidRPr="000109CF">
        <w:rPr>
          <w:rFonts w:ascii="Gotham-Rounded-Book" w:eastAsia="Times New Roman" w:hAnsi="Gotham-Rounded-Book" w:cs="Times New Roman"/>
          <w:b/>
          <w:bCs/>
          <w:sz w:val="28"/>
          <w:szCs w:val="28"/>
        </w:rPr>
        <w:t xml:space="preserve">Reem </w:t>
      </w:r>
      <w:proofErr w:type="spellStart"/>
      <w:r w:rsidRPr="000109CF">
        <w:rPr>
          <w:rFonts w:ascii="Gotham-Rounded-Book" w:eastAsia="Times New Roman" w:hAnsi="Gotham-Rounded-Book" w:cs="Times New Roman"/>
          <w:b/>
          <w:bCs/>
          <w:sz w:val="28"/>
          <w:szCs w:val="28"/>
        </w:rPr>
        <w:t>ALQahtani</w:t>
      </w:r>
      <w:proofErr w:type="spellEnd"/>
    </w:p>
    <w:p w14:paraId="6856D9DF" w14:textId="00AD3042" w:rsidR="000109CF" w:rsidRPr="000109CF" w:rsidRDefault="000109CF" w:rsidP="000109CF">
      <w:pPr>
        <w:spacing w:after="0" w:line="432" w:lineRule="atLeast"/>
        <w:ind w:left="720"/>
        <w:rPr>
          <w:rFonts w:ascii="Gotham-Rounded-Book" w:eastAsia="Times New Roman" w:hAnsi="Gotham-Rounded-Book" w:cs="Times New Roman"/>
          <w:b/>
          <w:bCs/>
          <w:sz w:val="28"/>
          <w:szCs w:val="28"/>
        </w:rPr>
      </w:pPr>
      <w:r w:rsidRPr="000109CF">
        <w:rPr>
          <w:rFonts w:ascii="Gotham-Rounded-Book" w:eastAsia="Times New Roman" w:hAnsi="Gotham-Rounded-Book" w:cs="Times New Roman"/>
          <w:b/>
          <w:bCs/>
          <w:sz w:val="28"/>
          <w:szCs w:val="28"/>
        </w:rPr>
        <w:t xml:space="preserve">Week_10 </w:t>
      </w:r>
    </w:p>
    <w:p w14:paraId="0F2106EF" w14:textId="4D1B832F" w:rsidR="000109CF" w:rsidRPr="000109CF" w:rsidRDefault="000109CF" w:rsidP="000109CF">
      <w:pPr>
        <w:spacing w:after="0" w:line="432" w:lineRule="atLeast"/>
        <w:ind w:left="720"/>
        <w:rPr>
          <w:rFonts w:ascii="Gotham-Rounded-Book" w:eastAsia="Times New Roman" w:hAnsi="Gotham-Rounded-Book" w:cs="Times New Roman"/>
          <w:b/>
          <w:bCs/>
          <w:sz w:val="28"/>
          <w:szCs w:val="28"/>
        </w:rPr>
      </w:pPr>
      <w:r w:rsidRPr="000109CF">
        <w:rPr>
          <w:rFonts w:ascii="Gotham-Rounded-Book" w:eastAsia="Times New Roman" w:hAnsi="Gotham-Rounded-Book" w:cs="Times New Roman"/>
          <w:b/>
          <w:bCs/>
          <w:sz w:val="28"/>
          <w:szCs w:val="28"/>
        </w:rPr>
        <w:t>Policy Assignment</w:t>
      </w:r>
    </w:p>
    <w:p w14:paraId="7CDF744D" w14:textId="77777777" w:rsidR="000109CF" w:rsidRDefault="000109CF" w:rsidP="000109CF">
      <w:pPr>
        <w:spacing w:after="0" w:line="432" w:lineRule="atLeast"/>
        <w:ind w:left="720"/>
        <w:rPr>
          <w:rFonts w:ascii="Gotham-Rounded-Book" w:eastAsia="Times New Roman" w:hAnsi="Gotham-Rounded-Book" w:cs="Times New Roman"/>
          <w:b/>
          <w:bCs/>
          <w:color w:val="833C0B" w:themeColor="accent2" w:themeShade="80"/>
          <w:sz w:val="28"/>
          <w:szCs w:val="28"/>
        </w:rPr>
      </w:pPr>
    </w:p>
    <w:p w14:paraId="2588AF4F" w14:textId="56C45294" w:rsidR="00645D5F" w:rsidRDefault="00645D5F" w:rsidP="00D20958">
      <w:pPr>
        <w:numPr>
          <w:ilvl w:val="0"/>
          <w:numId w:val="1"/>
        </w:numPr>
        <w:spacing w:after="0" w:line="432" w:lineRule="atLeast"/>
        <w:rPr>
          <w:rFonts w:ascii="Gotham-Rounded-Book" w:eastAsia="Times New Roman" w:hAnsi="Gotham-Rounded-Book" w:cs="Times New Roman"/>
          <w:b/>
          <w:bCs/>
          <w:color w:val="833C0B" w:themeColor="accent2" w:themeShade="80"/>
          <w:sz w:val="28"/>
          <w:szCs w:val="28"/>
        </w:rPr>
      </w:pPr>
      <w:r w:rsidRPr="00645D5F">
        <w:rPr>
          <w:rFonts w:ascii="Gotham-Rounded-Book" w:eastAsia="Times New Roman" w:hAnsi="Gotham-Rounded-Book" w:cs="Times New Roman"/>
          <w:b/>
          <w:bCs/>
          <w:color w:val="833C0B" w:themeColor="accent2" w:themeShade="80"/>
          <w:sz w:val="28"/>
          <w:szCs w:val="28"/>
        </w:rPr>
        <w:t>Have any new laws or bills been created and put into law? If so, how many and what are they? When were they created? </w:t>
      </w:r>
    </w:p>
    <w:p w14:paraId="44A0D0C8" w14:textId="77777777" w:rsidR="00D20958" w:rsidRPr="00D20958" w:rsidRDefault="00D20958" w:rsidP="00D20958">
      <w:pPr>
        <w:spacing w:after="0" w:line="432" w:lineRule="atLeast"/>
        <w:ind w:left="720"/>
        <w:rPr>
          <w:rFonts w:ascii="Gotham-Rounded-Book" w:eastAsia="Times New Roman" w:hAnsi="Gotham-Rounded-Book" w:cs="Times New Roman"/>
          <w:b/>
          <w:bCs/>
          <w:color w:val="833C0B" w:themeColor="accent2" w:themeShade="80"/>
          <w:sz w:val="28"/>
          <w:szCs w:val="28"/>
        </w:rPr>
      </w:pPr>
    </w:p>
    <w:p w14:paraId="7F20EC93" w14:textId="342B00C7" w:rsidR="00645D5F" w:rsidRPr="00A26638" w:rsidRDefault="00127FFA" w:rsidP="00127FFA">
      <w:pPr>
        <w:spacing w:after="0" w:line="432" w:lineRule="atLeast"/>
        <w:rPr>
          <w:rFonts w:asciiTheme="majorBidi" w:eastAsia="Times New Roman" w:hAnsiTheme="majorBidi" w:cstheme="majorBidi"/>
          <w:color w:val="505050"/>
          <w:sz w:val="26"/>
          <w:szCs w:val="26"/>
        </w:rPr>
      </w:pPr>
      <w:r>
        <w:rPr>
          <w:rFonts w:asciiTheme="majorBidi" w:eastAsia="Times New Roman" w:hAnsiTheme="majorBidi" w:cstheme="majorBidi"/>
          <w:sz w:val="24"/>
          <w:szCs w:val="24"/>
        </w:rPr>
        <w:t xml:space="preserve">    </w:t>
      </w:r>
      <w:r w:rsidRPr="00A26638">
        <w:rPr>
          <w:rFonts w:asciiTheme="majorBidi" w:eastAsia="Times New Roman" w:hAnsiTheme="majorBidi" w:cstheme="majorBidi"/>
          <w:sz w:val="26"/>
          <w:szCs w:val="26"/>
        </w:rPr>
        <w:t xml:space="preserve"> </w:t>
      </w:r>
      <w:r w:rsidR="00066073" w:rsidRPr="00A26638">
        <w:rPr>
          <w:rFonts w:asciiTheme="majorBidi" w:eastAsia="Times New Roman" w:hAnsiTheme="majorBidi" w:cstheme="majorBidi"/>
          <w:sz w:val="26"/>
          <w:szCs w:val="26"/>
        </w:rPr>
        <w:t xml:space="preserve">Saudi Arabia shows hesitance in dealing </w:t>
      </w:r>
      <w:r w:rsidR="00066073" w:rsidRPr="00A26638">
        <w:rPr>
          <w:rFonts w:asciiTheme="majorBidi" w:eastAsia="Times New Roman" w:hAnsiTheme="majorBidi" w:cstheme="majorBidi"/>
          <w:color w:val="505050"/>
          <w:sz w:val="26"/>
          <w:szCs w:val="26"/>
        </w:rPr>
        <w:t xml:space="preserve">with cryptocurrencies </w:t>
      </w:r>
      <w:r w:rsidR="00526329" w:rsidRPr="00A26638">
        <w:rPr>
          <w:rFonts w:asciiTheme="majorBidi" w:hAnsiTheme="majorBidi" w:cstheme="majorBidi"/>
          <w:sz w:val="26"/>
          <w:szCs w:val="26"/>
        </w:rPr>
        <w:t xml:space="preserve">so as we know </w:t>
      </w:r>
      <w:r w:rsidR="00526329" w:rsidRPr="00A26638">
        <w:rPr>
          <w:rFonts w:asciiTheme="majorBidi" w:hAnsiTheme="majorBidi" w:cstheme="majorBidi"/>
          <w:color w:val="4A4A4A"/>
          <w:sz w:val="26"/>
          <w:szCs w:val="26"/>
          <w:shd w:val="clear" w:color="auto" w:fill="FFFFFF"/>
        </w:rPr>
        <w:t>​The Standing Committee for Awareness and Warning confirmed that investment, speculation and participation in virtual currencies are linked to various risks and negative consequences for dealers, the most prominent of which is the fact that this type of investment outside the regulatory umbrella entered the Kingdom of Saudi Arabia, in addition to the consequences of exposure to large capital losses and fraud, due to the limited information available to investors. </w:t>
      </w:r>
    </w:p>
    <w:p w14:paraId="5666ED30" w14:textId="6BC3D497" w:rsidR="00645D5F" w:rsidRPr="00A26638" w:rsidRDefault="00C907C4" w:rsidP="00127FFA">
      <w:pPr>
        <w:spacing w:after="0" w:line="432" w:lineRule="atLeast"/>
        <w:rPr>
          <w:rFonts w:asciiTheme="majorBidi" w:eastAsia="Times New Roman" w:hAnsiTheme="majorBidi" w:cstheme="majorBidi"/>
          <w:color w:val="505050"/>
          <w:sz w:val="26"/>
          <w:szCs w:val="26"/>
        </w:rPr>
      </w:pPr>
      <w:r w:rsidRPr="00A26638">
        <w:rPr>
          <w:rFonts w:asciiTheme="majorBidi" w:eastAsia="Times New Roman" w:hAnsiTheme="majorBidi" w:cstheme="majorBidi"/>
          <w:color w:val="505050"/>
          <w:sz w:val="26"/>
          <w:szCs w:val="26"/>
        </w:rPr>
        <w:t xml:space="preserve">  </w:t>
      </w:r>
      <w:r w:rsidR="00127FFA" w:rsidRPr="00A26638">
        <w:rPr>
          <w:rFonts w:asciiTheme="majorBidi" w:eastAsia="Times New Roman" w:hAnsiTheme="majorBidi" w:cstheme="majorBidi"/>
          <w:color w:val="505050"/>
          <w:sz w:val="26"/>
          <w:szCs w:val="26"/>
        </w:rPr>
        <w:t xml:space="preserve">   </w:t>
      </w:r>
      <w:r w:rsidRPr="00A26638">
        <w:rPr>
          <w:rFonts w:asciiTheme="majorBidi" w:eastAsia="Times New Roman" w:hAnsiTheme="majorBidi" w:cstheme="majorBidi"/>
          <w:color w:val="505050"/>
          <w:sz w:val="26"/>
          <w:szCs w:val="26"/>
        </w:rPr>
        <w:t>But at the same time</w:t>
      </w:r>
      <w:r w:rsidR="00127FFA" w:rsidRPr="00A26638">
        <w:rPr>
          <w:rFonts w:asciiTheme="majorBidi" w:eastAsia="Times New Roman" w:hAnsiTheme="majorBidi" w:cstheme="majorBidi"/>
          <w:color w:val="505050"/>
          <w:sz w:val="26"/>
          <w:szCs w:val="26"/>
        </w:rPr>
        <w:t>,</w:t>
      </w:r>
      <w:r w:rsidR="00127FFA" w:rsidRPr="00A26638">
        <w:rPr>
          <w:rFonts w:asciiTheme="majorBidi" w:hAnsiTheme="majorBidi" w:cstheme="majorBidi"/>
          <w:color w:val="151515"/>
          <w:spacing w:val="4"/>
          <w:sz w:val="26"/>
          <w:szCs w:val="26"/>
          <w:shd w:val="clear" w:color="auto" w:fill="FFFFFF"/>
        </w:rPr>
        <w:t xml:space="preserve"> the Kingdom is seeking to come up with a low-cost digital central bank that simulates digital operations, which would have a hedge against the real liquidity maintained in central banks. there is a unified currency for the clearing system between banks in the region, and in the Gulf region there is a currency exchange policy that is very similar to digital transactions and depends a lot on the dollar. </w:t>
      </w:r>
    </w:p>
    <w:p w14:paraId="1151CEE6" w14:textId="77777777" w:rsidR="00645D5F" w:rsidRPr="00645D5F" w:rsidRDefault="00645D5F" w:rsidP="00645D5F">
      <w:pPr>
        <w:spacing w:after="0" w:line="432" w:lineRule="atLeast"/>
        <w:rPr>
          <w:rFonts w:ascii="Gotham-Rounded-Book" w:eastAsia="Times New Roman" w:hAnsi="Gotham-Rounded-Book" w:cs="Times New Roman"/>
          <w:color w:val="505050"/>
          <w:sz w:val="21"/>
          <w:szCs w:val="21"/>
        </w:rPr>
      </w:pPr>
    </w:p>
    <w:p w14:paraId="415F3A51" w14:textId="128BC517" w:rsidR="00645D5F" w:rsidRPr="00605732" w:rsidRDefault="00645D5F" w:rsidP="00645D5F">
      <w:pPr>
        <w:numPr>
          <w:ilvl w:val="0"/>
          <w:numId w:val="1"/>
        </w:numPr>
        <w:spacing w:after="0" w:line="432" w:lineRule="atLeast"/>
        <w:rPr>
          <w:rFonts w:ascii="Gotham-Rounded-Book" w:eastAsia="Times New Roman" w:hAnsi="Gotham-Rounded-Book" w:cs="Times New Roman"/>
          <w:b/>
          <w:bCs/>
          <w:color w:val="833C0B" w:themeColor="accent2" w:themeShade="80"/>
          <w:sz w:val="28"/>
          <w:szCs w:val="28"/>
        </w:rPr>
      </w:pPr>
      <w:r w:rsidRPr="00645D5F">
        <w:rPr>
          <w:rFonts w:ascii="Gotham-Rounded-Book" w:eastAsia="Times New Roman" w:hAnsi="Gotham-Rounded-Book" w:cs="Times New Roman"/>
          <w:b/>
          <w:bCs/>
          <w:color w:val="833C0B" w:themeColor="accent2" w:themeShade="80"/>
          <w:sz w:val="28"/>
          <w:szCs w:val="28"/>
        </w:rPr>
        <w:t>Are there working groups or partnerships formed with the government? If so, how many and what are they?</w:t>
      </w:r>
    </w:p>
    <w:p w14:paraId="1E5F004D" w14:textId="5346AEA7" w:rsidR="00C907C4" w:rsidRPr="00CF4ECA" w:rsidRDefault="007C74CE" w:rsidP="007C74CE">
      <w:pPr>
        <w:pStyle w:val="a3"/>
        <w:numPr>
          <w:ilvl w:val="0"/>
          <w:numId w:val="3"/>
        </w:numPr>
        <w:spacing w:after="0" w:line="432" w:lineRule="atLeast"/>
        <w:rPr>
          <w:rFonts w:ascii="Gotham-Rounded-Book" w:eastAsia="Times New Roman" w:hAnsi="Gotham-Rounded-Book" w:cs="Times New Roman"/>
          <w:color w:val="505050"/>
          <w:sz w:val="21"/>
          <w:szCs w:val="21"/>
        </w:rPr>
      </w:pPr>
      <w:r w:rsidRPr="007C74CE">
        <w:rPr>
          <w:rFonts w:ascii="Gotham-Rounded-Book" w:eastAsia="Times New Roman" w:hAnsi="Gotham-Rounded-Book" w:cs="Times New Roman"/>
          <w:color w:val="505050"/>
          <w:sz w:val="21"/>
          <w:szCs w:val="21"/>
        </w:rPr>
        <w:t xml:space="preserve">SDAIA: providing </w:t>
      </w:r>
      <w:r w:rsidR="00CF4ECA" w:rsidRPr="007C74CE">
        <w:rPr>
          <w:rFonts w:ascii="Gotham-Rounded-Book" w:eastAsia="Times New Roman" w:hAnsi="Gotham-Rounded-Book" w:cs="Times New Roman"/>
          <w:color w:val="505050"/>
          <w:sz w:val="21"/>
          <w:szCs w:val="21"/>
        </w:rPr>
        <w:t>courses,</w:t>
      </w:r>
      <w:r w:rsidRPr="007C74CE">
        <w:rPr>
          <w:rFonts w:ascii="Gotham-Rounded-Book" w:eastAsia="Times New Roman" w:hAnsi="Gotham-Rounded-Book" w:cs="Times New Roman"/>
          <w:color w:val="505050"/>
          <w:sz w:val="21"/>
          <w:szCs w:val="21"/>
        </w:rPr>
        <w:t xml:space="preserve"> initiatives and products that </w:t>
      </w:r>
      <w:r w:rsidRPr="007C74CE">
        <w:rPr>
          <w:rFonts w:ascii="Segoe UI" w:hAnsi="Segoe UI" w:cs="Segoe UI"/>
          <w:color w:val="000000"/>
          <w:shd w:val="clear" w:color="auto" w:fill="FFFFFF"/>
        </w:rPr>
        <w:t xml:space="preserve">sets </w:t>
      </w:r>
      <w:r w:rsidRPr="007C74CE">
        <w:rPr>
          <w:rFonts w:ascii="Segoe UI" w:hAnsi="Segoe UI" w:cs="Segoe UI"/>
          <w:color w:val="000000"/>
          <w:shd w:val="clear" w:color="auto" w:fill="FFFFFF"/>
        </w:rPr>
        <w:t>the national data and AI strategy and overseeing its execution through harmonized data policies, data analytics and insights capabilities, and continuous data and AI innovations.</w:t>
      </w:r>
    </w:p>
    <w:p w14:paraId="3FB3FE32" w14:textId="405BF4F6" w:rsidR="00CF4ECA" w:rsidRPr="00CF4ECA" w:rsidRDefault="007701DD" w:rsidP="007C74CE">
      <w:pPr>
        <w:pStyle w:val="a3"/>
        <w:numPr>
          <w:ilvl w:val="0"/>
          <w:numId w:val="3"/>
        </w:numPr>
        <w:spacing w:after="0" w:line="432" w:lineRule="atLeast"/>
        <w:rPr>
          <w:rFonts w:ascii="Gotham-Rounded-Book" w:eastAsia="Times New Roman" w:hAnsi="Gotham-Rounded-Book" w:cs="Times New Roman"/>
          <w:color w:val="505050"/>
          <w:sz w:val="21"/>
          <w:szCs w:val="21"/>
        </w:rPr>
      </w:pPr>
      <w:r>
        <w:t xml:space="preserve">The King Abdulaziz City for Science and Technology (KACST), which encompasses national research institutes, has established a national </w:t>
      </w:r>
      <w:r w:rsidR="00023021">
        <w:t>center</w:t>
      </w:r>
      <w:r>
        <w:t xml:space="preserve"> for AI R&amp;D.</w:t>
      </w:r>
    </w:p>
    <w:p w14:paraId="2FA90018" w14:textId="5521C353" w:rsidR="00CF4ECA" w:rsidRPr="007C74CE" w:rsidRDefault="00CF4ECA" w:rsidP="007C74CE">
      <w:pPr>
        <w:pStyle w:val="a3"/>
        <w:numPr>
          <w:ilvl w:val="0"/>
          <w:numId w:val="3"/>
        </w:numPr>
        <w:spacing w:after="0" w:line="432" w:lineRule="atLeast"/>
        <w:rPr>
          <w:rFonts w:ascii="Gotham-Rounded-Book" w:eastAsia="Times New Roman" w:hAnsi="Gotham-Rounded-Book" w:cs="Times New Roman"/>
          <w:color w:val="505050"/>
          <w:sz w:val="21"/>
          <w:szCs w:val="21"/>
        </w:rPr>
      </w:pPr>
      <w:r>
        <w:lastRenderedPageBreak/>
        <w:t>National Center for AI (NCAI)</w:t>
      </w:r>
      <w:r>
        <w:t>: Provid</w:t>
      </w:r>
      <w:r>
        <w:rPr>
          <w:rFonts w:asciiTheme="majorBidi" w:hAnsiTheme="majorBidi" w:cstheme="majorBidi"/>
          <w:color w:val="4A4A4A"/>
          <w:sz w:val="26"/>
          <w:szCs w:val="26"/>
          <w:shd w:val="clear" w:color="auto" w:fill="FFFFFF"/>
        </w:rPr>
        <w:t>ing</w:t>
      </w:r>
      <w:r w:rsidRPr="00CF4ECA">
        <w:rPr>
          <w:rFonts w:asciiTheme="majorBidi" w:hAnsiTheme="majorBidi" w:cstheme="majorBidi"/>
          <w:color w:val="4A4A4A"/>
          <w:sz w:val="26"/>
          <w:szCs w:val="26"/>
          <w:shd w:val="clear" w:color="auto" w:fill="FFFFFF"/>
        </w:rPr>
        <w:t xml:space="preserve"> AI</w:t>
      </w:r>
      <w:r w:rsidRPr="00CF4ECA">
        <w:rPr>
          <w:rFonts w:asciiTheme="majorBidi" w:hAnsiTheme="majorBidi" w:cstheme="majorBidi"/>
          <w:color w:val="4A4A4A"/>
          <w:sz w:val="26"/>
          <w:szCs w:val="26"/>
          <w:shd w:val="clear" w:color="auto" w:fill="FFFFFF"/>
        </w:rPr>
        <w:t xml:space="preserve"> research, developing AI solutions, providing AI strategic advisory to the government, and enhancing AI education; a sustainable world-class center of excellence leveraging collaborations with the academia, and public and private sectors.</w:t>
      </w:r>
    </w:p>
    <w:p w14:paraId="0899AA8E" w14:textId="77777777" w:rsidR="00C907C4" w:rsidRPr="00645D5F" w:rsidRDefault="00C907C4" w:rsidP="00C907C4">
      <w:pPr>
        <w:spacing w:after="0" w:line="432" w:lineRule="atLeast"/>
        <w:rPr>
          <w:rFonts w:ascii="Gotham-Rounded-Book" w:eastAsia="Times New Roman" w:hAnsi="Gotham-Rounded-Book" w:cs="Times New Roman"/>
          <w:color w:val="505050"/>
          <w:sz w:val="21"/>
          <w:szCs w:val="21"/>
        </w:rPr>
      </w:pPr>
    </w:p>
    <w:p w14:paraId="375328E0" w14:textId="77777777" w:rsidR="00C811A7" w:rsidRDefault="00645D5F" w:rsidP="00645D5F">
      <w:pPr>
        <w:numPr>
          <w:ilvl w:val="0"/>
          <w:numId w:val="1"/>
        </w:numPr>
        <w:spacing w:after="0" w:line="432" w:lineRule="atLeast"/>
        <w:rPr>
          <w:rFonts w:ascii="Gotham-Rounded-Book" w:eastAsia="Times New Roman" w:hAnsi="Gotham-Rounded-Book" w:cs="Times New Roman"/>
          <w:b/>
          <w:bCs/>
          <w:color w:val="833C0B" w:themeColor="accent2" w:themeShade="80"/>
          <w:sz w:val="28"/>
          <w:szCs w:val="28"/>
        </w:rPr>
      </w:pPr>
      <w:r w:rsidRPr="00645D5F">
        <w:rPr>
          <w:rFonts w:ascii="Gotham-Rounded-Book" w:eastAsia="Times New Roman" w:hAnsi="Gotham-Rounded-Book" w:cs="Times New Roman"/>
          <w:b/>
          <w:bCs/>
          <w:color w:val="833C0B" w:themeColor="accent2" w:themeShade="80"/>
          <w:sz w:val="28"/>
          <w:szCs w:val="28"/>
        </w:rPr>
        <w:t>Are there any special economic zones or regulatory sandboxes? If so, how many and what/where are they?</w:t>
      </w:r>
    </w:p>
    <w:p w14:paraId="0D0E04A5" w14:textId="77777777" w:rsidR="00235553" w:rsidRDefault="00C811A7" w:rsidP="00C811A7">
      <w:pPr>
        <w:spacing w:after="0" w:line="432" w:lineRule="atLeast"/>
        <w:ind w:left="720"/>
        <w:rPr>
          <w:rFonts w:asciiTheme="majorBidi" w:hAnsiTheme="majorBidi" w:cstheme="majorBidi"/>
          <w:color w:val="4A4A4A"/>
          <w:sz w:val="26"/>
          <w:szCs w:val="26"/>
          <w:shd w:val="clear" w:color="auto" w:fill="FFFFFF"/>
        </w:rPr>
      </w:pPr>
      <w:r>
        <w:rPr>
          <w:rFonts w:asciiTheme="majorBidi" w:hAnsiTheme="majorBidi" w:cstheme="majorBidi"/>
          <w:color w:val="4A4A4A"/>
          <w:sz w:val="26"/>
          <w:szCs w:val="26"/>
          <w:shd w:val="clear" w:color="auto" w:fill="FFFFFF"/>
        </w:rPr>
        <w:t xml:space="preserve">   </w:t>
      </w:r>
    </w:p>
    <w:p w14:paraId="77A66BE5" w14:textId="33C7A4E7" w:rsidR="00C811A7" w:rsidRDefault="00C811A7" w:rsidP="00C811A7">
      <w:pPr>
        <w:spacing w:after="0" w:line="432" w:lineRule="atLeast"/>
        <w:ind w:left="720"/>
        <w:rPr>
          <w:rFonts w:asciiTheme="majorBidi" w:hAnsiTheme="majorBidi" w:cstheme="majorBidi"/>
          <w:color w:val="4A4A4A"/>
          <w:sz w:val="26"/>
          <w:szCs w:val="26"/>
          <w:shd w:val="clear" w:color="auto" w:fill="FFFFFF"/>
        </w:rPr>
      </w:pPr>
      <w:r>
        <w:rPr>
          <w:rFonts w:asciiTheme="majorBidi" w:hAnsiTheme="majorBidi" w:cstheme="majorBidi"/>
          <w:color w:val="4A4A4A"/>
          <w:sz w:val="26"/>
          <w:szCs w:val="26"/>
          <w:shd w:val="clear" w:color="auto" w:fill="FFFFFF"/>
        </w:rPr>
        <w:t xml:space="preserve">  </w:t>
      </w:r>
      <w:r w:rsidRPr="00C811A7">
        <w:rPr>
          <w:rFonts w:asciiTheme="majorBidi" w:hAnsiTheme="majorBidi" w:cstheme="majorBidi"/>
          <w:color w:val="4A4A4A"/>
          <w:sz w:val="26"/>
          <w:szCs w:val="26"/>
          <w:shd w:val="clear" w:color="auto" w:fill="FFFFFF"/>
        </w:rPr>
        <w:t>Several Government authorities in the Kingdom have established regulatory sandboxes in using digital technologies to allows startups and other innovators to conduct live experiments in a controlled environment under a regulator's supervision.</w:t>
      </w:r>
    </w:p>
    <w:p w14:paraId="2E81A500" w14:textId="222B0FFD" w:rsidR="00D20958" w:rsidRPr="00EA6274" w:rsidRDefault="00F91D78" w:rsidP="007F691A">
      <w:pPr>
        <w:pStyle w:val="a3"/>
        <w:numPr>
          <w:ilvl w:val="0"/>
          <w:numId w:val="2"/>
        </w:numPr>
        <w:spacing w:after="0" w:line="432" w:lineRule="atLeast"/>
        <w:rPr>
          <w:rFonts w:asciiTheme="majorBidi" w:hAnsiTheme="majorBidi" w:cstheme="majorBidi"/>
          <w:color w:val="4A4A4A"/>
          <w:sz w:val="26"/>
          <w:szCs w:val="26"/>
          <w:shd w:val="clear" w:color="auto" w:fill="FFFFFF"/>
        </w:rPr>
      </w:pPr>
      <w:r w:rsidRPr="00EA6274">
        <w:rPr>
          <w:rFonts w:asciiTheme="majorBidi" w:hAnsiTheme="majorBidi" w:cstheme="majorBidi"/>
          <w:b/>
          <w:bCs/>
          <w:color w:val="4A4A4A"/>
          <w:sz w:val="26"/>
          <w:szCs w:val="26"/>
          <w:shd w:val="clear" w:color="auto" w:fill="FFFFFF"/>
        </w:rPr>
        <w:t>NEOM</w:t>
      </w:r>
      <w:r w:rsidRPr="00EA6274">
        <w:rPr>
          <w:rFonts w:asciiTheme="majorBidi" w:hAnsiTheme="majorBidi" w:cstheme="majorBidi"/>
          <w:color w:val="4A4A4A"/>
          <w:sz w:val="26"/>
          <w:szCs w:val="26"/>
          <w:shd w:val="clear" w:color="auto" w:fill="FFFFFF"/>
        </w:rPr>
        <w:t xml:space="preserve"> is one of the Saudi Arabia`s vision projects to build an intelligent environment where the Internet of Things (IoT) is one of the key technologies.  </w:t>
      </w:r>
      <w:r w:rsidR="00D20958" w:rsidRPr="00EA6274">
        <w:rPr>
          <w:rFonts w:asciiTheme="majorBidi" w:hAnsiTheme="majorBidi" w:cstheme="majorBidi"/>
          <w:color w:val="4A4A4A"/>
          <w:sz w:val="26"/>
          <w:szCs w:val="26"/>
          <w:shd w:val="clear" w:color="auto" w:fill="FFFFFF"/>
        </w:rPr>
        <w:t>And to enhance the security of the of IoT environment, they apply the Blockchain</w:t>
      </w:r>
      <w:r w:rsidRPr="00EA6274">
        <w:rPr>
          <w:rFonts w:asciiTheme="majorBidi" w:hAnsiTheme="majorBidi" w:cstheme="majorBidi"/>
          <w:color w:val="4A4A4A"/>
          <w:sz w:val="26"/>
          <w:szCs w:val="26"/>
          <w:shd w:val="clear" w:color="auto" w:fill="FFFFFF"/>
        </w:rPr>
        <w:t xml:space="preserve"> </w:t>
      </w:r>
      <w:r w:rsidR="00D20958" w:rsidRPr="00EA6274">
        <w:rPr>
          <w:rFonts w:asciiTheme="majorBidi" w:hAnsiTheme="majorBidi" w:cstheme="majorBidi"/>
          <w:color w:val="4A4A4A"/>
          <w:sz w:val="26"/>
          <w:szCs w:val="26"/>
          <w:shd w:val="clear" w:color="auto" w:fill="FFFFFF"/>
        </w:rPr>
        <w:t>technology since it is a safe method that can be used widely and IoT needs this type of skill to permit protected communication among IoT device nodes in mixed atmosphere.</w:t>
      </w:r>
    </w:p>
    <w:p w14:paraId="7D4D0C1D" w14:textId="0ED3C5CB" w:rsidR="00645D5F" w:rsidRPr="00EA6274" w:rsidRDefault="00D20958" w:rsidP="007F691A">
      <w:pPr>
        <w:pStyle w:val="a3"/>
        <w:numPr>
          <w:ilvl w:val="0"/>
          <w:numId w:val="2"/>
        </w:numPr>
        <w:spacing w:after="0" w:line="432" w:lineRule="atLeast"/>
        <w:rPr>
          <w:rFonts w:asciiTheme="majorBidi" w:hAnsiTheme="majorBidi" w:cstheme="majorBidi"/>
          <w:color w:val="4A4A4A"/>
          <w:sz w:val="26"/>
          <w:szCs w:val="26"/>
          <w:shd w:val="clear" w:color="auto" w:fill="FFFFFF"/>
        </w:rPr>
      </w:pPr>
      <w:r w:rsidRPr="00EA6274">
        <w:rPr>
          <w:rFonts w:asciiTheme="majorBidi" w:hAnsiTheme="majorBidi" w:cstheme="majorBidi"/>
          <w:color w:val="4A4A4A"/>
          <w:sz w:val="26"/>
          <w:szCs w:val="26"/>
          <w:shd w:val="clear" w:color="auto" w:fill="FFFFFF"/>
        </w:rPr>
        <w:t xml:space="preserve"> </w:t>
      </w:r>
      <w:r w:rsidR="00EA6274">
        <w:rPr>
          <w:rFonts w:asciiTheme="majorBidi" w:hAnsiTheme="majorBidi" w:cstheme="majorBidi"/>
          <w:b/>
          <w:bCs/>
          <w:color w:val="4A4A4A"/>
          <w:sz w:val="26"/>
          <w:szCs w:val="26"/>
          <w:shd w:val="clear" w:color="auto" w:fill="FFFFFF"/>
        </w:rPr>
        <w:t>T</w:t>
      </w:r>
      <w:r w:rsidR="0080746B" w:rsidRPr="00EA6274">
        <w:rPr>
          <w:rFonts w:asciiTheme="majorBidi" w:hAnsiTheme="majorBidi" w:cstheme="majorBidi"/>
          <w:b/>
          <w:bCs/>
          <w:color w:val="4A4A4A"/>
          <w:sz w:val="26"/>
          <w:szCs w:val="26"/>
          <w:shd w:val="clear" w:color="auto" w:fill="FFFFFF"/>
        </w:rPr>
        <w:t>he</w:t>
      </w:r>
      <w:r w:rsidR="0080746B" w:rsidRPr="00EA6274">
        <w:rPr>
          <w:rFonts w:asciiTheme="majorBidi" w:hAnsiTheme="majorBidi" w:cstheme="majorBidi"/>
          <w:color w:val="4A4A4A"/>
          <w:sz w:val="26"/>
          <w:szCs w:val="26"/>
          <w:shd w:val="clear" w:color="auto" w:fill="FFFFFF"/>
        </w:rPr>
        <w:t xml:space="preserve"> </w:t>
      </w:r>
      <w:r w:rsidR="0080746B" w:rsidRPr="00EA6274">
        <w:rPr>
          <w:rFonts w:asciiTheme="majorBidi" w:hAnsiTheme="majorBidi" w:cstheme="majorBidi"/>
          <w:b/>
          <w:bCs/>
          <w:color w:val="4A4A4A"/>
          <w:sz w:val="26"/>
          <w:szCs w:val="26"/>
          <w:shd w:val="clear" w:color="auto" w:fill="FFFFFF"/>
        </w:rPr>
        <w:t>Digital Government Authority</w:t>
      </w:r>
      <w:r w:rsidR="0080746B" w:rsidRPr="00EA6274">
        <w:rPr>
          <w:rFonts w:asciiTheme="majorBidi" w:hAnsiTheme="majorBidi" w:cstheme="majorBidi"/>
          <w:color w:val="4A4A4A"/>
          <w:sz w:val="26"/>
          <w:szCs w:val="26"/>
          <w:shd w:val="clear" w:color="auto" w:fill="FFFFFF"/>
        </w:rPr>
        <w:t xml:space="preserve"> (</w:t>
      </w:r>
      <w:r w:rsidR="0080746B" w:rsidRPr="00EA6274">
        <w:rPr>
          <w:rFonts w:asciiTheme="majorBidi" w:hAnsiTheme="majorBidi" w:cstheme="majorBidi"/>
          <w:b/>
          <w:bCs/>
          <w:color w:val="4A4A4A"/>
          <w:sz w:val="26"/>
          <w:szCs w:val="26"/>
          <w:shd w:val="clear" w:color="auto" w:fill="FFFFFF"/>
        </w:rPr>
        <w:t>DGA</w:t>
      </w:r>
      <w:r w:rsidR="0080746B" w:rsidRPr="00EA6274">
        <w:rPr>
          <w:rFonts w:asciiTheme="majorBidi" w:hAnsiTheme="majorBidi" w:cstheme="majorBidi"/>
          <w:color w:val="4A4A4A"/>
          <w:sz w:val="26"/>
          <w:szCs w:val="26"/>
          <w:shd w:val="clear" w:color="auto" w:fill="FFFFFF"/>
        </w:rPr>
        <w:t xml:space="preserve">) launched the regulatory sandbox initiative for government technical companies </w:t>
      </w:r>
    </w:p>
    <w:p w14:paraId="4D75318A" w14:textId="295B190A" w:rsidR="0080746B" w:rsidRPr="00EA6274" w:rsidRDefault="0080746B" w:rsidP="0080746B">
      <w:pPr>
        <w:pStyle w:val="a3"/>
        <w:numPr>
          <w:ilvl w:val="0"/>
          <w:numId w:val="2"/>
        </w:numPr>
        <w:spacing w:after="0" w:line="432" w:lineRule="atLeast"/>
        <w:rPr>
          <w:rFonts w:asciiTheme="majorBidi" w:hAnsiTheme="majorBidi" w:cstheme="majorBidi"/>
          <w:color w:val="4A4A4A"/>
          <w:sz w:val="26"/>
          <w:szCs w:val="26"/>
          <w:shd w:val="clear" w:color="auto" w:fill="FFFFFF"/>
        </w:rPr>
      </w:pPr>
      <w:r w:rsidRPr="00EA6274">
        <w:rPr>
          <w:rFonts w:asciiTheme="majorBidi" w:hAnsiTheme="majorBidi" w:cstheme="majorBidi"/>
          <w:b/>
          <w:bCs/>
          <w:color w:val="4A4A4A"/>
          <w:sz w:val="26"/>
          <w:szCs w:val="26"/>
          <w:shd w:val="clear" w:color="auto" w:fill="FFFFFF"/>
        </w:rPr>
        <w:t>The </w:t>
      </w:r>
      <w:hyperlink r:id="rId5" w:tgtFrame="_blank" w:history="1">
        <w:r w:rsidRPr="00EA6274">
          <w:rPr>
            <w:rFonts w:asciiTheme="majorBidi" w:hAnsiTheme="majorBidi" w:cstheme="majorBidi"/>
            <w:b/>
            <w:bCs/>
            <w:color w:val="4A4A4A"/>
            <w:sz w:val="26"/>
            <w:szCs w:val="26"/>
            <w:shd w:val="clear" w:color="auto" w:fill="FFFFFF"/>
          </w:rPr>
          <w:t>Communications and Information Technology Commission (CITC)</w:t>
        </w:r>
      </w:hyperlink>
      <w:r w:rsidRPr="00EA6274">
        <w:rPr>
          <w:rFonts w:asciiTheme="majorBidi" w:hAnsiTheme="majorBidi" w:cstheme="majorBidi"/>
          <w:color w:val="4A4A4A"/>
          <w:sz w:val="26"/>
          <w:szCs w:val="26"/>
          <w:shd w:val="clear" w:color="auto" w:fill="FFFFFF"/>
        </w:rPr>
        <w:t> launched a </w:t>
      </w:r>
      <w:hyperlink r:id="rId6" w:tgtFrame="_blank" w:history="1">
        <w:r w:rsidRPr="00EA6274">
          <w:rPr>
            <w:rFonts w:asciiTheme="majorBidi" w:hAnsiTheme="majorBidi" w:cstheme="majorBidi"/>
            <w:color w:val="4A4A4A"/>
            <w:sz w:val="26"/>
            <w:szCs w:val="26"/>
            <w:shd w:val="clear" w:color="auto" w:fill="FFFFFF"/>
          </w:rPr>
          <w:t>Regulatory Sandbox</w:t>
        </w:r>
      </w:hyperlink>
      <w:r w:rsidRPr="00EA6274">
        <w:rPr>
          <w:rFonts w:asciiTheme="majorBidi" w:hAnsiTheme="majorBidi" w:cstheme="majorBidi"/>
          <w:color w:val="4A4A4A"/>
          <w:sz w:val="26"/>
          <w:szCs w:val="26"/>
          <w:shd w:val="clear" w:color="auto" w:fill="FFFFFF"/>
        </w:rPr>
        <w:t> for delivery applications.</w:t>
      </w:r>
    </w:p>
    <w:p w14:paraId="38FFE3A1" w14:textId="51D766B5" w:rsidR="0080746B" w:rsidRPr="00EA6274" w:rsidRDefault="001C0FBF" w:rsidP="0080746B">
      <w:pPr>
        <w:pStyle w:val="a3"/>
        <w:numPr>
          <w:ilvl w:val="0"/>
          <w:numId w:val="2"/>
        </w:numPr>
        <w:spacing w:after="0" w:line="432" w:lineRule="atLeast"/>
        <w:rPr>
          <w:rFonts w:asciiTheme="majorBidi" w:hAnsiTheme="majorBidi" w:cstheme="majorBidi"/>
          <w:color w:val="4A4A4A"/>
          <w:sz w:val="26"/>
          <w:szCs w:val="26"/>
          <w:shd w:val="clear" w:color="auto" w:fill="FFFFFF"/>
        </w:rPr>
      </w:pPr>
      <w:hyperlink r:id="rId7" w:tgtFrame="_blank" w:history="1">
        <w:r w:rsidR="0080746B" w:rsidRPr="00EA6274">
          <w:rPr>
            <w:rFonts w:asciiTheme="majorBidi" w:hAnsiTheme="majorBidi" w:cstheme="majorBidi"/>
            <w:b/>
            <w:bCs/>
            <w:color w:val="4A4A4A"/>
            <w:sz w:val="26"/>
            <w:szCs w:val="26"/>
            <w:shd w:val="clear" w:color="auto" w:fill="FFFFFF"/>
          </w:rPr>
          <w:t>Saudi Arabian Monetary Authority (SAMA)</w:t>
        </w:r>
      </w:hyperlink>
      <w:r w:rsidR="0080746B" w:rsidRPr="00EA6274">
        <w:rPr>
          <w:rFonts w:asciiTheme="majorBidi" w:hAnsiTheme="majorBidi" w:cstheme="majorBidi"/>
          <w:color w:val="4A4A4A"/>
          <w:sz w:val="26"/>
          <w:szCs w:val="26"/>
          <w:shd w:val="clear" w:color="auto" w:fill="FFFFFF"/>
        </w:rPr>
        <w:t> has designed a </w:t>
      </w:r>
      <w:hyperlink r:id="rId8" w:tgtFrame="_blank" w:history="1">
        <w:r w:rsidR="0080746B" w:rsidRPr="00EA6274">
          <w:rPr>
            <w:rFonts w:asciiTheme="majorBidi" w:hAnsiTheme="majorBidi" w:cstheme="majorBidi"/>
            <w:color w:val="4A4A4A"/>
            <w:sz w:val="26"/>
            <w:szCs w:val="26"/>
            <w:shd w:val="clear" w:color="auto" w:fill="FFFFFF"/>
          </w:rPr>
          <w:t>Regulatory Sandbox </w:t>
        </w:r>
      </w:hyperlink>
      <w:r w:rsidR="0080746B" w:rsidRPr="00EA6274">
        <w:rPr>
          <w:rFonts w:asciiTheme="majorBidi" w:hAnsiTheme="majorBidi" w:cstheme="majorBidi"/>
          <w:color w:val="4A4A4A"/>
          <w:sz w:val="26"/>
          <w:szCs w:val="26"/>
          <w:shd w:val="clear" w:color="auto" w:fill="FFFFFF"/>
        </w:rPr>
        <w:t>that welcomes local and international firms wishing to test new digital solutions in a 'live' environment with a view to deploying them in the Kingdom in the future.</w:t>
      </w:r>
    </w:p>
    <w:p w14:paraId="41E20E0B" w14:textId="6DD4DAEF" w:rsidR="00EA6274" w:rsidRPr="00023021" w:rsidRDefault="00EA6274" w:rsidP="00EA6274">
      <w:pPr>
        <w:spacing w:after="0" w:line="432" w:lineRule="atLeast"/>
        <w:ind w:left="720"/>
        <w:rPr>
          <w:rFonts w:asciiTheme="majorBidi" w:hAnsiTheme="majorBidi" w:cstheme="majorBidi"/>
          <w:color w:val="4A4A4A"/>
          <w:sz w:val="26"/>
          <w:szCs w:val="26"/>
          <w:shd w:val="clear" w:color="auto" w:fill="FFFFFF"/>
        </w:rPr>
      </w:pPr>
    </w:p>
    <w:p w14:paraId="19DFF2BB" w14:textId="3F6FC162" w:rsidR="00235553" w:rsidRDefault="00235553" w:rsidP="00EA6274">
      <w:pPr>
        <w:spacing w:after="0" w:line="432" w:lineRule="atLeast"/>
        <w:ind w:left="720"/>
        <w:rPr>
          <w:rFonts w:ascii="Gotham-Rounded-Book" w:eastAsia="Times New Roman" w:hAnsi="Gotham-Rounded-Book" w:cs="Times New Roman"/>
          <w:b/>
          <w:bCs/>
          <w:color w:val="833C0B" w:themeColor="accent2" w:themeShade="80"/>
          <w:sz w:val="28"/>
          <w:szCs w:val="28"/>
        </w:rPr>
      </w:pPr>
    </w:p>
    <w:p w14:paraId="3D5A9116" w14:textId="567CD394" w:rsidR="00235553" w:rsidRDefault="00235553" w:rsidP="00EA6274">
      <w:pPr>
        <w:spacing w:after="0" w:line="432" w:lineRule="atLeast"/>
        <w:ind w:left="720"/>
        <w:rPr>
          <w:rFonts w:ascii="Gotham-Rounded-Book" w:eastAsia="Times New Roman" w:hAnsi="Gotham-Rounded-Book" w:cs="Times New Roman"/>
          <w:b/>
          <w:bCs/>
          <w:color w:val="833C0B" w:themeColor="accent2" w:themeShade="80"/>
          <w:sz w:val="28"/>
          <w:szCs w:val="28"/>
        </w:rPr>
      </w:pPr>
    </w:p>
    <w:p w14:paraId="0DCDC5C3" w14:textId="77777777" w:rsidR="00235553" w:rsidRDefault="00235553" w:rsidP="00EA6274">
      <w:pPr>
        <w:spacing w:after="0" w:line="432" w:lineRule="atLeast"/>
        <w:ind w:left="720"/>
        <w:rPr>
          <w:rFonts w:ascii="Gotham-Rounded-Book" w:eastAsia="Times New Roman" w:hAnsi="Gotham-Rounded-Book" w:cs="Times New Roman"/>
          <w:b/>
          <w:bCs/>
          <w:color w:val="833C0B" w:themeColor="accent2" w:themeShade="80"/>
          <w:sz w:val="28"/>
          <w:szCs w:val="28"/>
        </w:rPr>
      </w:pPr>
    </w:p>
    <w:p w14:paraId="2737E340" w14:textId="77777777" w:rsidR="00EA6274" w:rsidRDefault="00EA6274" w:rsidP="00EA6274">
      <w:pPr>
        <w:spacing w:after="0" w:line="432" w:lineRule="atLeast"/>
        <w:ind w:left="720"/>
        <w:rPr>
          <w:rFonts w:ascii="Gotham-Rounded-Book" w:eastAsia="Times New Roman" w:hAnsi="Gotham-Rounded-Book" w:cs="Times New Roman"/>
          <w:b/>
          <w:bCs/>
          <w:color w:val="833C0B" w:themeColor="accent2" w:themeShade="80"/>
          <w:sz w:val="28"/>
          <w:szCs w:val="28"/>
        </w:rPr>
      </w:pPr>
    </w:p>
    <w:p w14:paraId="31952A9B" w14:textId="77777777" w:rsidR="00EA6274" w:rsidRDefault="00EA6274" w:rsidP="00EA6274">
      <w:pPr>
        <w:spacing w:after="0" w:line="432" w:lineRule="atLeast"/>
        <w:ind w:left="720"/>
        <w:rPr>
          <w:rFonts w:ascii="Gotham-Rounded-Book" w:eastAsia="Times New Roman" w:hAnsi="Gotham-Rounded-Book" w:cs="Times New Roman"/>
          <w:b/>
          <w:bCs/>
          <w:color w:val="833C0B" w:themeColor="accent2" w:themeShade="80"/>
          <w:sz w:val="28"/>
          <w:szCs w:val="28"/>
        </w:rPr>
      </w:pPr>
    </w:p>
    <w:p w14:paraId="35292E48" w14:textId="2A287A05" w:rsidR="00EA6274" w:rsidRDefault="00EA6274" w:rsidP="00EA6274">
      <w:pPr>
        <w:spacing w:after="0" w:line="432" w:lineRule="atLeast"/>
        <w:ind w:left="360"/>
        <w:rPr>
          <w:rFonts w:ascii="Gotham-Rounded-Book" w:eastAsia="Times New Roman" w:hAnsi="Gotham-Rounded-Book" w:cs="Times New Roman"/>
          <w:b/>
          <w:bCs/>
          <w:color w:val="833C0B" w:themeColor="accent2" w:themeShade="80"/>
          <w:sz w:val="28"/>
          <w:szCs w:val="28"/>
        </w:rPr>
      </w:pPr>
    </w:p>
    <w:p w14:paraId="6DDDE3C9" w14:textId="74788B48" w:rsidR="00235553" w:rsidRDefault="00235553" w:rsidP="00EA6274">
      <w:pPr>
        <w:spacing w:after="0" w:line="432" w:lineRule="atLeast"/>
        <w:ind w:left="360"/>
        <w:rPr>
          <w:rFonts w:ascii="Gotham-Rounded-Book" w:eastAsia="Times New Roman" w:hAnsi="Gotham-Rounded-Book" w:cs="Times New Roman"/>
          <w:b/>
          <w:bCs/>
          <w:color w:val="833C0B" w:themeColor="accent2" w:themeShade="80"/>
          <w:sz w:val="28"/>
          <w:szCs w:val="28"/>
        </w:rPr>
      </w:pPr>
    </w:p>
    <w:p w14:paraId="4F842D56" w14:textId="77777777" w:rsidR="00235553" w:rsidRDefault="00235553" w:rsidP="00EA6274">
      <w:pPr>
        <w:spacing w:after="0" w:line="432" w:lineRule="atLeast"/>
        <w:ind w:left="360"/>
        <w:rPr>
          <w:rFonts w:ascii="Gotham-Rounded-Book" w:eastAsia="Times New Roman" w:hAnsi="Gotham-Rounded-Book" w:cs="Times New Roman"/>
          <w:b/>
          <w:bCs/>
          <w:color w:val="833C0B" w:themeColor="accent2" w:themeShade="80"/>
          <w:sz w:val="28"/>
          <w:szCs w:val="28"/>
        </w:rPr>
      </w:pPr>
    </w:p>
    <w:p w14:paraId="0FD6BACF" w14:textId="42904EBB" w:rsidR="00645D5F" w:rsidRDefault="00645D5F" w:rsidP="00645D5F">
      <w:pPr>
        <w:numPr>
          <w:ilvl w:val="0"/>
          <w:numId w:val="1"/>
        </w:numPr>
        <w:spacing w:after="0" w:line="432" w:lineRule="atLeast"/>
        <w:rPr>
          <w:rFonts w:ascii="Gotham-Rounded-Book" w:eastAsia="Times New Roman" w:hAnsi="Gotham-Rounded-Book" w:cs="Times New Roman"/>
          <w:b/>
          <w:bCs/>
          <w:color w:val="833C0B" w:themeColor="accent2" w:themeShade="80"/>
          <w:sz w:val="28"/>
          <w:szCs w:val="28"/>
        </w:rPr>
      </w:pPr>
      <w:r w:rsidRPr="00645D5F">
        <w:rPr>
          <w:rFonts w:ascii="Gotham-Rounded-Book" w:eastAsia="Times New Roman" w:hAnsi="Gotham-Rounded-Book" w:cs="Times New Roman"/>
          <w:b/>
          <w:bCs/>
          <w:color w:val="833C0B" w:themeColor="accent2" w:themeShade="80"/>
          <w:sz w:val="28"/>
          <w:szCs w:val="28"/>
        </w:rPr>
        <w:t>Are there any standards organizations? If so, what are they working on? </w:t>
      </w:r>
    </w:p>
    <w:p w14:paraId="33C9CE7C" w14:textId="60034BA1" w:rsidR="00C811A7" w:rsidRDefault="00C811A7" w:rsidP="00C811A7">
      <w:pPr>
        <w:spacing w:after="0" w:line="432" w:lineRule="atLeast"/>
        <w:rPr>
          <w:rFonts w:ascii="Gotham-Rounded-Book" w:eastAsia="Times New Roman" w:hAnsi="Gotham-Rounded-Book" w:cs="Times New Roman"/>
          <w:b/>
          <w:bCs/>
          <w:color w:val="833C0B" w:themeColor="accent2" w:themeShade="80"/>
          <w:sz w:val="28"/>
          <w:szCs w:val="28"/>
        </w:rPr>
      </w:pPr>
    </w:p>
    <w:p w14:paraId="715E43F8" w14:textId="503A7B5E" w:rsidR="00EA6274" w:rsidRDefault="00235553" w:rsidP="002854F2">
      <w:pPr>
        <w:spacing w:after="0" w:line="432" w:lineRule="atLeast"/>
        <w:rPr>
          <w:rFonts w:asciiTheme="majorBidi" w:hAnsiTheme="majorBidi" w:cstheme="majorBidi"/>
          <w:color w:val="4A4A4A"/>
          <w:sz w:val="26"/>
          <w:szCs w:val="26"/>
          <w:shd w:val="clear" w:color="auto" w:fill="FFFFFF"/>
        </w:rPr>
      </w:pPr>
      <w:r>
        <w:rPr>
          <w:rFonts w:asciiTheme="majorBidi" w:hAnsiTheme="majorBidi" w:cstheme="majorBidi"/>
          <w:color w:val="4A4A4A"/>
          <w:sz w:val="26"/>
          <w:szCs w:val="26"/>
          <w:shd w:val="clear" w:color="auto" w:fill="FFFFFF"/>
        </w:rPr>
        <w:t xml:space="preserve">      </w:t>
      </w:r>
      <w:r w:rsidR="002854F2" w:rsidRPr="00C811A7">
        <w:rPr>
          <w:rFonts w:asciiTheme="majorBidi" w:hAnsiTheme="majorBidi" w:cstheme="majorBidi"/>
          <w:color w:val="4A4A4A"/>
          <w:sz w:val="26"/>
          <w:szCs w:val="26"/>
          <w:shd w:val="clear" w:color="auto" w:fill="FFFFFF"/>
        </w:rPr>
        <w:t>First of all, as we know Fintech in Saudi Arabia are mainly regulated by</w:t>
      </w:r>
    </w:p>
    <w:p w14:paraId="141EB687" w14:textId="3BF66BF2" w:rsidR="00023021" w:rsidRPr="00023021" w:rsidRDefault="002854F2" w:rsidP="00023021">
      <w:pPr>
        <w:pStyle w:val="a3"/>
        <w:numPr>
          <w:ilvl w:val="0"/>
          <w:numId w:val="4"/>
        </w:numPr>
        <w:spacing w:after="0" w:line="432" w:lineRule="atLeast"/>
        <w:rPr>
          <w:rFonts w:asciiTheme="majorBidi" w:hAnsiTheme="majorBidi" w:cstheme="majorBidi"/>
          <w:color w:val="4A4A4A"/>
          <w:sz w:val="26"/>
          <w:szCs w:val="26"/>
          <w:shd w:val="clear" w:color="auto" w:fill="FFFFFF"/>
        </w:rPr>
      </w:pPr>
      <w:r w:rsidRPr="00023021">
        <w:rPr>
          <w:rFonts w:asciiTheme="majorBidi" w:hAnsiTheme="majorBidi" w:cstheme="majorBidi"/>
          <w:color w:val="4A4A4A"/>
          <w:sz w:val="26"/>
          <w:szCs w:val="26"/>
          <w:shd w:val="clear" w:color="auto" w:fill="FFFFFF"/>
        </w:rPr>
        <w:t>CMA (Capital Market Authority)</w:t>
      </w:r>
      <w:r w:rsidR="00EA6274" w:rsidRPr="00023021">
        <w:rPr>
          <w:rFonts w:asciiTheme="majorBidi" w:hAnsiTheme="majorBidi" w:cstheme="majorBidi"/>
          <w:color w:val="4A4A4A"/>
          <w:sz w:val="26"/>
          <w:szCs w:val="26"/>
          <w:shd w:val="clear" w:color="auto" w:fill="FFFFFF"/>
        </w:rPr>
        <w:t>:</w:t>
      </w:r>
      <w:r w:rsidR="00023021" w:rsidRPr="00023021">
        <w:rPr>
          <w:rFonts w:asciiTheme="majorBidi" w:hAnsiTheme="majorBidi" w:cstheme="majorBidi"/>
          <w:color w:val="4A4A4A"/>
          <w:sz w:val="26"/>
          <w:szCs w:val="26"/>
          <w:shd w:val="clear" w:color="auto" w:fill="FFFFFF"/>
        </w:rPr>
        <w:t xml:space="preserve"> </w:t>
      </w:r>
      <w:r w:rsidR="00023021" w:rsidRPr="00023021">
        <w:rPr>
          <w:rFonts w:asciiTheme="majorBidi" w:hAnsiTheme="majorBidi" w:cstheme="majorBidi"/>
          <w:color w:val="4A4A4A"/>
          <w:sz w:val="26"/>
          <w:szCs w:val="26"/>
          <w:shd w:val="clear" w:color="auto" w:fill="FFFFFF"/>
        </w:rPr>
        <w:t> Licensing and supervising all the capital market intermediaries; Ensuring compliance with the legal and regulatory framework by all market participants</w:t>
      </w:r>
      <w:r w:rsidRPr="00023021">
        <w:rPr>
          <w:rFonts w:asciiTheme="majorBidi" w:hAnsiTheme="majorBidi" w:cstheme="majorBidi"/>
          <w:color w:val="4A4A4A"/>
          <w:sz w:val="26"/>
          <w:szCs w:val="26"/>
          <w:shd w:val="clear" w:color="auto" w:fill="FFFFFF"/>
        </w:rPr>
        <w:t xml:space="preserve"> </w:t>
      </w:r>
    </w:p>
    <w:p w14:paraId="26A734F4" w14:textId="6D9C05E9" w:rsidR="00EA6274" w:rsidRPr="00023021" w:rsidRDefault="002854F2" w:rsidP="00023021">
      <w:pPr>
        <w:pStyle w:val="a3"/>
        <w:numPr>
          <w:ilvl w:val="0"/>
          <w:numId w:val="4"/>
        </w:numPr>
        <w:spacing w:after="0" w:line="432" w:lineRule="atLeast"/>
        <w:rPr>
          <w:rFonts w:asciiTheme="majorBidi" w:hAnsiTheme="majorBidi" w:cstheme="majorBidi"/>
          <w:color w:val="4A4A4A"/>
          <w:sz w:val="26"/>
          <w:szCs w:val="26"/>
          <w:shd w:val="clear" w:color="auto" w:fill="FFFFFF"/>
        </w:rPr>
      </w:pPr>
      <w:r w:rsidRPr="00023021">
        <w:rPr>
          <w:rFonts w:asciiTheme="majorBidi" w:hAnsiTheme="majorBidi" w:cstheme="majorBidi"/>
          <w:color w:val="4A4A4A"/>
          <w:sz w:val="26"/>
          <w:szCs w:val="26"/>
          <w:shd w:val="clear" w:color="auto" w:fill="FFFFFF"/>
        </w:rPr>
        <w:t>SAMA (Saudi Arabian Monetary Authority)</w:t>
      </w:r>
      <w:r w:rsidR="00EA6274" w:rsidRPr="00023021">
        <w:rPr>
          <w:rFonts w:asciiTheme="majorBidi" w:hAnsiTheme="majorBidi" w:cstheme="majorBidi"/>
          <w:color w:val="4A4A4A"/>
          <w:sz w:val="26"/>
          <w:szCs w:val="26"/>
          <w:shd w:val="clear" w:color="auto" w:fill="FFFFFF"/>
        </w:rPr>
        <w:t>:</w:t>
      </w:r>
      <w:r w:rsidR="001C0FBF" w:rsidRPr="001C0FBF">
        <w:rPr>
          <w:rFonts w:asciiTheme="majorBidi" w:hAnsiTheme="majorBidi" w:cstheme="majorBidi"/>
          <w:color w:val="4A4A4A"/>
          <w:sz w:val="26"/>
          <w:szCs w:val="26"/>
          <w:shd w:val="clear" w:color="auto" w:fill="FFFFFF"/>
        </w:rPr>
        <w:t xml:space="preserve"> </w:t>
      </w:r>
      <w:r w:rsidR="001C0FBF" w:rsidRPr="001C0FBF">
        <w:rPr>
          <w:rFonts w:asciiTheme="majorBidi" w:hAnsiTheme="majorBidi" w:cstheme="majorBidi"/>
          <w:color w:val="4A4A4A"/>
          <w:sz w:val="26"/>
          <w:szCs w:val="26"/>
          <w:shd w:val="clear" w:color="auto" w:fill="FFFFFF"/>
        </w:rPr>
        <w:t>managing foreign exchange reserves, promoting price and exchange rate stability, and safeguarding the growth and soundness of the Saudi financial system.</w:t>
      </w:r>
    </w:p>
    <w:p w14:paraId="005A17C5" w14:textId="5DDDB397" w:rsidR="002854F2" w:rsidRPr="00023021" w:rsidRDefault="002854F2" w:rsidP="00023021">
      <w:pPr>
        <w:pStyle w:val="a3"/>
        <w:numPr>
          <w:ilvl w:val="0"/>
          <w:numId w:val="4"/>
        </w:numPr>
        <w:spacing w:after="0" w:line="432" w:lineRule="atLeast"/>
        <w:rPr>
          <w:rFonts w:asciiTheme="majorBidi" w:hAnsiTheme="majorBidi" w:cstheme="majorBidi"/>
          <w:color w:val="4A4A4A"/>
          <w:sz w:val="26"/>
          <w:szCs w:val="26"/>
          <w:shd w:val="clear" w:color="auto" w:fill="FFFFFF"/>
        </w:rPr>
      </w:pPr>
      <w:r w:rsidRPr="00023021">
        <w:rPr>
          <w:rFonts w:asciiTheme="majorBidi" w:hAnsiTheme="majorBidi" w:cstheme="majorBidi"/>
          <w:color w:val="4A4A4A"/>
          <w:sz w:val="26"/>
          <w:szCs w:val="26"/>
          <w:shd w:val="clear" w:color="auto" w:fill="FFFFFF"/>
        </w:rPr>
        <w:t>CITC (The Communications and Information Technology Commission)</w:t>
      </w:r>
      <w:r w:rsidR="00EA6274" w:rsidRPr="00023021">
        <w:rPr>
          <w:rFonts w:asciiTheme="majorBidi" w:hAnsiTheme="majorBidi" w:cstheme="majorBidi"/>
          <w:color w:val="4A4A4A"/>
          <w:sz w:val="26"/>
          <w:szCs w:val="26"/>
          <w:shd w:val="clear" w:color="auto" w:fill="FFFFFF"/>
        </w:rPr>
        <w:t>:</w:t>
      </w:r>
    </w:p>
    <w:p w14:paraId="79793E7F" w14:textId="6A7F1BD1" w:rsidR="00C811A7" w:rsidRPr="00023021" w:rsidRDefault="00EA6274" w:rsidP="001C0FBF">
      <w:pPr>
        <w:spacing w:after="0" w:line="432" w:lineRule="atLeast"/>
        <w:ind w:left="420"/>
        <w:rPr>
          <w:rFonts w:asciiTheme="majorBidi" w:hAnsiTheme="majorBidi" w:cstheme="majorBidi"/>
          <w:color w:val="4A4A4A"/>
          <w:sz w:val="26"/>
          <w:szCs w:val="26"/>
          <w:shd w:val="clear" w:color="auto" w:fill="FFFFFF"/>
        </w:rPr>
      </w:pPr>
      <w:r w:rsidRPr="00EA6274">
        <w:rPr>
          <w:rFonts w:asciiTheme="majorBidi" w:hAnsiTheme="majorBidi" w:cstheme="majorBidi"/>
          <w:color w:val="4A4A4A"/>
          <w:sz w:val="26"/>
          <w:szCs w:val="26"/>
          <w:shd w:val="clear" w:color="auto" w:fill="FFFFFF"/>
        </w:rPr>
        <w:t>The initiative comes as part of the authority's mandate to regulate and supervise the postal sector, including the licensing and regulation of delivery apps operating in Saudi Arabia.</w:t>
      </w:r>
    </w:p>
    <w:p w14:paraId="57FC1E5B" w14:textId="016C5363" w:rsidR="00C811A7" w:rsidRPr="00023021" w:rsidRDefault="00EA6274" w:rsidP="00023021">
      <w:pPr>
        <w:pStyle w:val="a3"/>
        <w:numPr>
          <w:ilvl w:val="0"/>
          <w:numId w:val="6"/>
        </w:numPr>
        <w:spacing w:after="0" w:line="432" w:lineRule="atLeast"/>
        <w:rPr>
          <w:rFonts w:asciiTheme="majorBidi" w:hAnsiTheme="majorBidi" w:cstheme="majorBidi"/>
          <w:color w:val="4A4A4A"/>
          <w:sz w:val="26"/>
          <w:szCs w:val="26"/>
          <w:shd w:val="clear" w:color="auto" w:fill="FFFFFF"/>
        </w:rPr>
      </w:pPr>
      <w:r w:rsidRPr="00023021">
        <w:rPr>
          <w:rFonts w:asciiTheme="majorBidi" w:hAnsiTheme="majorBidi" w:cstheme="majorBidi"/>
          <w:color w:val="4A4A4A"/>
          <w:sz w:val="26"/>
          <w:szCs w:val="26"/>
          <w:shd w:val="clear" w:color="auto" w:fill="FFFFFF"/>
        </w:rPr>
        <w:t>The Digital Government Authority (DGA</w:t>
      </w:r>
      <w:r w:rsidR="00235553" w:rsidRPr="00023021">
        <w:rPr>
          <w:rFonts w:asciiTheme="majorBidi" w:hAnsiTheme="majorBidi" w:cstheme="majorBidi"/>
          <w:color w:val="4A4A4A"/>
          <w:sz w:val="26"/>
          <w:szCs w:val="26"/>
          <w:shd w:val="clear" w:color="auto" w:fill="FFFFFF"/>
        </w:rPr>
        <w:t>)</w:t>
      </w:r>
      <w:r w:rsidRPr="00023021">
        <w:rPr>
          <w:rFonts w:asciiTheme="majorBidi" w:hAnsiTheme="majorBidi" w:cstheme="majorBidi"/>
          <w:color w:val="4A4A4A"/>
          <w:sz w:val="26"/>
          <w:szCs w:val="26"/>
          <w:shd w:val="clear" w:color="auto" w:fill="FFFFFF"/>
        </w:rPr>
        <w:t>: to find organizational solutions in the field of digital platforms and services. </w:t>
      </w:r>
    </w:p>
    <w:p w14:paraId="7E7D5EA0" w14:textId="2AA41098" w:rsidR="00C811A7" w:rsidRDefault="00C811A7" w:rsidP="00C811A7">
      <w:pPr>
        <w:spacing w:after="0" w:line="432" w:lineRule="atLeast"/>
        <w:rPr>
          <w:rFonts w:ascii="Gotham-Rounded-Book" w:eastAsia="Times New Roman" w:hAnsi="Gotham-Rounded-Book" w:cs="Times New Roman"/>
          <w:b/>
          <w:bCs/>
          <w:color w:val="833C0B" w:themeColor="accent2" w:themeShade="80"/>
          <w:sz w:val="28"/>
          <w:szCs w:val="28"/>
        </w:rPr>
      </w:pPr>
    </w:p>
    <w:p w14:paraId="731D636B" w14:textId="77777777" w:rsidR="00C811A7" w:rsidRPr="00645D5F" w:rsidRDefault="00C811A7" w:rsidP="00C811A7">
      <w:pPr>
        <w:spacing w:after="0" w:line="432" w:lineRule="atLeast"/>
        <w:rPr>
          <w:rFonts w:ascii="Gotham-Rounded-Book" w:eastAsia="Times New Roman" w:hAnsi="Gotham-Rounded-Book" w:cs="Times New Roman"/>
          <w:b/>
          <w:bCs/>
          <w:color w:val="833C0B" w:themeColor="accent2" w:themeShade="80"/>
          <w:sz w:val="28"/>
          <w:szCs w:val="28"/>
        </w:rPr>
      </w:pPr>
    </w:p>
    <w:p w14:paraId="5AC1A089" w14:textId="306B02E4" w:rsidR="00D8368C" w:rsidRDefault="00645D5F" w:rsidP="00D9320F">
      <w:pPr>
        <w:numPr>
          <w:ilvl w:val="0"/>
          <w:numId w:val="1"/>
        </w:numPr>
        <w:spacing w:after="0" w:line="432" w:lineRule="atLeast"/>
        <w:rPr>
          <w:rFonts w:ascii="Gotham-Rounded-Book" w:eastAsia="Times New Roman" w:hAnsi="Gotham-Rounded-Book" w:cs="Times New Roman"/>
          <w:b/>
          <w:bCs/>
          <w:color w:val="833C0B" w:themeColor="accent2" w:themeShade="80"/>
          <w:sz w:val="28"/>
          <w:szCs w:val="28"/>
        </w:rPr>
      </w:pPr>
      <w:r w:rsidRPr="00645D5F">
        <w:rPr>
          <w:rFonts w:ascii="Gotham-Rounded-Book" w:eastAsia="Times New Roman" w:hAnsi="Gotham-Rounded-Book" w:cs="Times New Roman"/>
          <w:b/>
          <w:bCs/>
          <w:color w:val="833C0B" w:themeColor="accent2" w:themeShade="80"/>
          <w:sz w:val="28"/>
          <w:szCs w:val="28"/>
        </w:rPr>
        <w:t>Anything else that you discovered?</w:t>
      </w:r>
    </w:p>
    <w:p w14:paraId="145AAF4F" w14:textId="77777777" w:rsidR="00D9320F" w:rsidRPr="00D9320F" w:rsidRDefault="00D9320F" w:rsidP="00D9320F">
      <w:pPr>
        <w:spacing w:after="0" w:line="432" w:lineRule="atLeast"/>
        <w:ind w:left="720"/>
        <w:rPr>
          <w:rFonts w:ascii="Gotham-Rounded-Book" w:eastAsia="Times New Roman" w:hAnsi="Gotham-Rounded-Book" w:cs="Times New Roman"/>
          <w:b/>
          <w:bCs/>
          <w:color w:val="833C0B" w:themeColor="accent2" w:themeShade="80"/>
          <w:sz w:val="28"/>
          <w:szCs w:val="28"/>
        </w:rPr>
      </w:pPr>
    </w:p>
    <w:p w14:paraId="2969F736" w14:textId="50FB9E76" w:rsidR="00731ECA" w:rsidRPr="00D9320F" w:rsidRDefault="001A2290" w:rsidP="00645D5F">
      <w:pPr>
        <w:ind w:left="720"/>
        <w:rPr>
          <w:rFonts w:asciiTheme="majorBidi" w:hAnsiTheme="majorBidi" w:cstheme="majorBidi"/>
          <w:color w:val="4A4A4A"/>
          <w:sz w:val="26"/>
          <w:szCs w:val="26"/>
          <w:shd w:val="clear" w:color="auto" w:fill="FFFFFF"/>
        </w:rPr>
      </w:pPr>
      <w:r w:rsidRPr="00D9320F">
        <w:rPr>
          <w:rFonts w:asciiTheme="majorBidi" w:hAnsiTheme="majorBidi" w:cstheme="majorBidi"/>
          <w:color w:val="4A4A4A"/>
          <w:sz w:val="26"/>
          <w:szCs w:val="26"/>
          <w:shd w:val="clear" w:color="auto" w:fill="FFFFFF"/>
        </w:rPr>
        <w:t xml:space="preserve">    I’m</w:t>
      </w:r>
      <w:r w:rsidR="00731ECA" w:rsidRPr="00D9320F">
        <w:rPr>
          <w:rFonts w:asciiTheme="majorBidi" w:hAnsiTheme="majorBidi" w:cstheme="majorBidi"/>
          <w:color w:val="4A4A4A"/>
          <w:sz w:val="26"/>
          <w:szCs w:val="26"/>
          <w:shd w:val="clear" w:color="auto" w:fill="FFFFFF"/>
        </w:rPr>
        <w:t xml:space="preserve"> hoping </w:t>
      </w:r>
      <w:r w:rsidRPr="00D9320F">
        <w:rPr>
          <w:rFonts w:asciiTheme="majorBidi" w:hAnsiTheme="majorBidi" w:cstheme="majorBidi"/>
          <w:color w:val="4A4A4A"/>
          <w:sz w:val="26"/>
          <w:szCs w:val="26"/>
          <w:shd w:val="clear" w:color="auto" w:fill="FFFFFF"/>
        </w:rPr>
        <w:t xml:space="preserve">that in the future will be more attention to the blockchain technology and how it can be applied in many of our </w:t>
      </w:r>
      <w:r w:rsidR="00D9320F" w:rsidRPr="00D9320F">
        <w:rPr>
          <w:rFonts w:asciiTheme="majorBidi" w:hAnsiTheme="majorBidi" w:cstheme="majorBidi"/>
          <w:color w:val="4A4A4A"/>
          <w:sz w:val="26"/>
          <w:szCs w:val="26"/>
          <w:shd w:val="clear" w:color="auto" w:fill="FFFFFF"/>
        </w:rPr>
        <w:t>applications in</w:t>
      </w:r>
      <w:r w:rsidRPr="00D9320F">
        <w:rPr>
          <w:rFonts w:asciiTheme="majorBidi" w:hAnsiTheme="majorBidi" w:cstheme="majorBidi"/>
          <w:color w:val="4A4A4A"/>
          <w:sz w:val="26"/>
          <w:szCs w:val="26"/>
          <w:shd w:val="clear" w:color="auto" w:fill="FFFFFF"/>
        </w:rPr>
        <w:t xml:space="preserve"> financial matters such as banks and real estate where there will be a development and a huge evolutionary leap in the Kingdom and we will get rid of manual papers and waiting hours that may take time and delays in our transactions.</w:t>
      </w:r>
    </w:p>
    <w:sectPr w:rsidR="00731ECA" w:rsidRPr="00D9320F" w:rsidSect="00645D5F">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Rounded-Boo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837F5"/>
    <w:multiLevelType w:val="hybridMultilevel"/>
    <w:tmpl w:val="E7788D5A"/>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 w15:restartNumberingAfterBreak="0">
    <w:nsid w:val="2F2970D2"/>
    <w:multiLevelType w:val="multilevel"/>
    <w:tmpl w:val="CBE83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B1358E"/>
    <w:multiLevelType w:val="hybridMultilevel"/>
    <w:tmpl w:val="BA08458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750E6F45"/>
    <w:multiLevelType w:val="hybridMultilevel"/>
    <w:tmpl w:val="E0F6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A86D93"/>
    <w:multiLevelType w:val="hybridMultilevel"/>
    <w:tmpl w:val="D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4C1B9E"/>
    <w:multiLevelType w:val="hybridMultilevel"/>
    <w:tmpl w:val="CCEE53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D5F"/>
    <w:rsid w:val="000109CF"/>
    <w:rsid w:val="00023021"/>
    <w:rsid w:val="000245FC"/>
    <w:rsid w:val="00066073"/>
    <w:rsid w:val="00127FFA"/>
    <w:rsid w:val="001A2290"/>
    <w:rsid w:val="001C0FBF"/>
    <w:rsid w:val="00235553"/>
    <w:rsid w:val="002854F2"/>
    <w:rsid w:val="00526329"/>
    <w:rsid w:val="00605732"/>
    <w:rsid w:val="00645D5F"/>
    <w:rsid w:val="006B5B8A"/>
    <w:rsid w:val="00731ECA"/>
    <w:rsid w:val="007701DD"/>
    <w:rsid w:val="007C3945"/>
    <w:rsid w:val="007C74CE"/>
    <w:rsid w:val="0080746B"/>
    <w:rsid w:val="008D294A"/>
    <w:rsid w:val="00A26638"/>
    <w:rsid w:val="00C811A7"/>
    <w:rsid w:val="00C907C4"/>
    <w:rsid w:val="00C94018"/>
    <w:rsid w:val="00CF4ECA"/>
    <w:rsid w:val="00D20958"/>
    <w:rsid w:val="00D8368C"/>
    <w:rsid w:val="00D9320F"/>
    <w:rsid w:val="00D93A65"/>
    <w:rsid w:val="00E10CD4"/>
    <w:rsid w:val="00EA6274"/>
    <w:rsid w:val="00F20201"/>
    <w:rsid w:val="00F91D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0ADEB"/>
  <w15:chartTrackingRefBased/>
  <w15:docId w15:val="{AE026E51-AAD4-4179-87A6-88896DED6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746B"/>
    <w:pPr>
      <w:ind w:left="720"/>
      <w:contextualSpacing/>
    </w:pPr>
  </w:style>
  <w:style w:type="character" w:styleId="Hyperlink">
    <w:name w:val="Hyperlink"/>
    <w:basedOn w:val="a0"/>
    <w:uiPriority w:val="99"/>
    <w:semiHidden/>
    <w:unhideWhenUsed/>
    <w:rsid w:val="008074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46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ma.gov.sa/en-US/Regulatory%20Sandbox/Documents/Regulatory_Sandbox_Framework_English-NOV2020.pdf" TargetMode="External"/><Relationship Id="rId3" Type="http://schemas.openxmlformats.org/officeDocument/2006/relationships/settings" Target="settings.xml"/><Relationship Id="rId7" Type="http://schemas.openxmlformats.org/officeDocument/2006/relationships/hyperlink" Target="https://www.sama.gov.sa/en-US/pages/defaul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tc.gov.sa/en/mediacenter/pressreleases/Pages/20200410.aspx" TargetMode="External"/><Relationship Id="rId5" Type="http://schemas.openxmlformats.org/officeDocument/2006/relationships/hyperlink" Target="https://www.citc.gov.sa/en/Pages/default.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3</Pages>
  <Words>728</Words>
  <Characters>4156</Characters>
  <Application>Microsoft Office Word</Application>
  <DocSecurity>0</DocSecurity>
  <Lines>34</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21112</dc:creator>
  <cp:keywords/>
  <dc:description/>
  <cp:lastModifiedBy>Reem 21112</cp:lastModifiedBy>
  <cp:revision>5</cp:revision>
  <dcterms:created xsi:type="dcterms:W3CDTF">2021-12-08T11:35:00Z</dcterms:created>
  <dcterms:modified xsi:type="dcterms:W3CDTF">2021-12-11T08:51:00Z</dcterms:modified>
</cp:coreProperties>
</file>