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383F" w14:textId="45D21D8B" w:rsidR="00617EAD" w:rsidRDefault="00000000">
      <w:pPr>
        <w:spacing w:after="40"/>
        <w:jc w:val="center"/>
        <w:rPr>
          <w:b/>
          <w:bCs/>
          <w:color w:val="1B2A4A"/>
          <w:sz w:val="40"/>
          <w:szCs w:val="40"/>
        </w:rPr>
      </w:pPr>
      <w:r>
        <w:rPr>
          <w:sz w:val="40"/>
          <w:szCs w:val="40"/>
        </w:rPr>
        <w:t xml:space="preserve"> </w:t>
      </w:r>
      <w:r>
        <w:rPr>
          <w:b/>
          <w:bCs/>
          <w:color w:val="1B2A4A"/>
          <w:sz w:val="40"/>
          <w:szCs w:val="40"/>
        </w:rPr>
        <w:t>IPL PERFORMANCE ANALYSIS</w:t>
      </w:r>
    </w:p>
    <w:p w14:paraId="73003756" w14:textId="77777777" w:rsidR="00D7317A" w:rsidRDefault="00D7317A">
      <w:pPr>
        <w:spacing w:after="40"/>
        <w:jc w:val="center"/>
      </w:pPr>
    </w:p>
    <w:p w14:paraId="35C5A12D" w14:textId="77777777" w:rsidR="00617EAD" w:rsidRDefault="00000000">
      <w:pPr>
        <w:pStyle w:val="Heading1"/>
      </w:pPr>
      <w:r>
        <w:t>Executive Summary</w:t>
      </w:r>
    </w:p>
    <w:p w14:paraId="79C51003" w14:textId="77777777" w:rsidR="00617EAD" w:rsidRDefault="00000000">
      <w:pPr>
        <w:spacing w:after="110" w:line="270" w:lineRule="auto"/>
      </w:pPr>
      <w:r>
        <w:t>This IPL analysis explored match-level and ball-by-ball data spanning 17 seasons (2008–2024). The objective was to identify trends in team performance, batting success, toss decisions, venue influence, and death-over scoring patterns.</w:t>
      </w:r>
    </w:p>
    <w:p w14:paraId="18044D09" w14:textId="77777777" w:rsidR="00617EAD" w:rsidRDefault="00000000">
      <w:pPr>
        <w:spacing w:after="110" w:line="270" w:lineRule="auto"/>
      </w:pPr>
      <w:r>
        <w:t>The analysis reveals that batting has become increasingly aggressive over the years, with average runs per match rising from approximately 309 runs in the inaugural season to nearly 366 runs in 2024. Teams choosing to field first after winning the toss achieved a higher match-winning percentage than teams choosing to bat first, suggesting a strategic advantage while chasing targets.</w:t>
      </w:r>
    </w:p>
    <w:p w14:paraId="780C152D" w14:textId="77777777" w:rsidR="00617EAD" w:rsidRDefault="00000000">
      <w:pPr>
        <w:spacing w:after="110" w:line="270" w:lineRule="auto"/>
      </w:pPr>
      <w:r>
        <w:t>Among individual performers, Virat Kohli emerged as the highest run-scorer in IPL history with more than 8,000 runs. At the team level, Mumbai Indians, Chennai Super Kings, and Kolkata Knight Riders consistently demonstrated strong performances across seasons. Death-over analysis showed that Chennai Super Kings and Mumbai Indians were among the most effective teams in maximizing runs during the final overs.</w:t>
      </w:r>
    </w:p>
    <w:p w14:paraId="0295676C" w14:textId="77777777" w:rsidR="00617EAD" w:rsidRDefault="00000000">
      <w:pPr>
        <w:spacing w:after="110" w:line="270" w:lineRule="auto"/>
      </w:pPr>
      <w:r>
        <w:t>Overall, the findings highlight the growing importance of aggressive batting, tactical toss decisions, and efficient death-over execution in achieving success in the IPL.</w:t>
      </w:r>
    </w:p>
    <w:p w14:paraId="38AD4851" w14:textId="77777777" w:rsidR="00617EAD" w:rsidRDefault="00617EAD">
      <w:pP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17EAD" w14:paraId="0D423A38" w14:textId="77777777">
        <w:tblPrEx>
          <w:tblCellMar>
            <w:top w:w="0" w:type="dxa"/>
            <w:bottom w:w="0" w:type="dxa"/>
          </w:tblCellMar>
        </w:tblPrEx>
        <w:tc>
          <w:tcPr>
            <w:tcW w:w="1872" w:type="dxa"/>
            <w:tcBorders>
              <w:top w:val="single" w:sz="2" w:space="0" w:color="D9DCE1"/>
              <w:left w:val="single" w:sz="2" w:space="0" w:color="D9DCE1"/>
              <w:bottom w:val="single" w:sz="2" w:space="0" w:color="D9DCE1"/>
              <w:right w:val="single" w:sz="2" w:space="0" w:color="D9DCE1"/>
            </w:tcBorders>
            <w:shd w:val="clear" w:color="auto" w:fill="F2F4F7"/>
            <w:tcMar>
              <w:top w:w="160" w:type="dxa"/>
              <w:left w:w="80" w:type="dxa"/>
              <w:bottom w:w="160" w:type="dxa"/>
              <w:right w:w="80" w:type="dxa"/>
            </w:tcMar>
            <w:vAlign w:val="center"/>
          </w:tcPr>
          <w:p w14:paraId="6ABC1A1A" w14:textId="77777777" w:rsidR="00617EAD" w:rsidRDefault="00000000">
            <w:pPr>
              <w:spacing w:after="60"/>
              <w:jc w:val="center"/>
            </w:pPr>
            <w:r>
              <w:rPr>
                <w:b/>
                <w:bCs/>
                <w:color w:val="1B2A4A"/>
                <w:sz w:val="26"/>
                <w:szCs w:val="26"/>
              </w:rPr>
              <w:t>17</w:t>
            </w:r>
          </w:p>
          <w:p w14:paraId="4D423DA6" w14:textId="77777777" w:rsidR="00617EAD" w:rsidRDefault="00000000">
            <w:pPr>
              <w:jc w:val="center"/>
            </w:pPr>
            <w:r>
              <w:rPr>
                <w:color w:val="6B6F76"/>
                <w:sz w:val="16"/>
                <w:szCs w:val="16"/>
              </w:rPr>
              <w:t xml:space="preserve">Seasons </w:t>
            </w:r>
            <w:proofErr w:type="spellStart"/>
            <w:r>
              <w:rPr>
                <w:color w:val="6B6F76"/>
                <w:sz w:val="16"/>
                <w:szCs w:val="16"/>
              </w:rPr>
              <w:t>Analyzed</w:t>
            </w:r>
            <w:proofErr w:type="spellEnd"/>
          </w:p>
        </w:tc>
        <w:tc>
          <w:tcPr>
            <w:tcW w:w="1872" w:type="dxa"/>
            <w:tcBorders>
              <w:top w:val="single" w:sz="2" w:space="0" w:color="D9DCE1"/>
              <w:left w:val="single" w:sz="2" w:space="0" w:color="D9DCE1"/>
              <w:bottom w:val="single" w:sz="2" w:space="0" w:color="D9DCE1"/>
              <w:right w:val="single" w:sz="2" w:space="0" w:color="D9DCE1"/>
            </w:tcBorders>
            <w:shd w:val="clear" w:color="auto" w:fill="F2F4F7"/>
            <w:tcMar>
              <w:top w:w="160" w:type="dxa"/>
              <w:left w:w="80" w:type="dxa"/>
              <w:bottom w:w="160" w:type="dxa"/>
              <w:right w:w="80" w:type="dxa"/>
            </w:tcMar>
            <w:vAlign w:val="center"/>
          </w:tcPr>
          <w:p w14:paraId="0143D9DB" w14:textId="77777777" w:rsidR="00617EAD" w:rsidRDefault="00000000">
            <w:pPr>
              <w:spacing w:after="60"/>
              <w:jc w:val="center"/>
            </w:pPr>
            <w:r>
              <w:rPr>
                <w:b/>
                <w:bCs/>
                <w:color w:val="1B2A4A"/>
                <w:sz w:val="26"/>
                <w:szCs w:val="26"/>
              </w:rPr>
              <w:t>8,014</w:t>
            </w:r>
          </w:p>
          <w:p w14:paraId="23096427" w14:textId="77777777" w:rsidR="00617EAD" w:rsidRDefault="00000000">
            <w:pPr>
              <w:jc w:val="center"/>
            </w:pPr>
            <w:r>
              <w:rPr>
                <w:color w:val="6B6F76"/>
                <w:sz w:val="16"/>
                <w:szCs w:val="16"/>
              </w:rPr>
              <w:t>Kohli's Career Runs</w:t>
            </w:r>
          </w:p>
        </w:tc>
        <w:tc>
          <w:tcPr>
            <w:tcW w:w="1872" w:type="dxa"/>
            <w:tcBorders>
              <w:top w:val="single" w:sz="2" w:space="0" w:color="D9DCE1"/>
              <w:left w:val="single" w:sz="2" w:space="0" w:color="D9DCE1"/>
              <w:bottom w:val="single" w:sz="2" w:space="0" w:color="D9DCE1"/>
              <w:right w:val="single" w:sz="2" w:space="0" w:color="D9DCE1"/>
            </w:tcBorders>
            <w:shd w:val="clear" w:color="auto" w:fill="F2F4F7"/>
            <w:tcMar>
              <w:top w:w="160" w:type="dxa"/>
              <w:left w:w="80" w:type="dxa"/>
              <w:bottom w:w="160" w:type="dxa"/>
              <w:right w:w="80" w:type="dxa"/>
            </w:tcMar>
            <w:vAlign w:val="center"/>
          </w:tcPr>
          <w:p w14:paraId="3A53EB7C" w14:textId="77777777" w:rsidR="00617EAD" w:rsidRDefault="00000000">
            <w:pPr>
              <w:spacing w:after="60"/>
              <w:jc w:val="center"/>
            </w:pPr>
            <w:r>
              <w:rPr>
                <w:b/>
                <w:bCs/>
                <w:color w:val="1B2A4A"/>
                <w:sz w:val="26"/>
                <w:szCs w:val="26"/>
              </w:rPr>
              <w:t>53.55%</w:t>
            </w:r>
          </w:p>
          <w:p w14:paraId="407DC5AE" w14:textId="77777777" w:rsidR="00617EAD" w:rsidRDefault="00000000">
            <w:pPr>
              <w:jc w:val="center"/>
            </w:pPr>
            <w:r>
              <w:rPr>
                <w:color w:val="6B6F76"/>
                <w:sz w:val="16"/>
                <w:szCs w:val="16"/>
              </w:rPr>
              <w:t>Win Rate Fielding First</w:t>
            </w:r>
          </w:p>
        </w:tc>
        <w:tc>
          <w:tcPr>
            <w:tcW w:w="1872" w:type="dxa"/>
            <w:tcBorders>
              <w:top w:val="single" w:sz="2" w:space="0" w:color="D9DCE1"/>
              <w:left w:val="single" w:sz="2" w:space="0" w:color="D9DCE1"/>
              <w:bottom w:val="single" w:sz="2" w:space="0" w:color="D9DCE1"/>
              <w:right w:val="single" w:sz="2" w:space="0" w:color="D9DCE1"/>
            </w:tcBorders>
            <w:shd w:val="clear" w:color="auto" w:fill="F2F4F7"/>
            <w:tcMar>
              <w:top w:w="160" w:type="dxa"/>
              <w:left w:w="80" w:type="dxa"/>
              <w:bottom w:w="160" w:type="dxa"/>
              <w:right w:w="80" w:type="dxa"/>
            </w:tcMar>
            <w:vAlign w:val="center"/>
          </w:tcPr>
          <w:p w14:paraId="34158D43" w14:textId="77777777" w:rsidR="00617EAD" w:rsidRDefault="00000000">
            <w:pPr>
              <w:spacing w:after="60"/>
              <w:jc w:val="center"/>
            </w:pPr>
            <w:r>
              <w:rPr>
                <w:b/>
                <w:bCs/>
                <w:color w:val="1B2A4A"/>
                <w:sz w:val="26"/>
                <w:szCs w:val="26"/>
              </w:rPr>
              <w:t>309 → 366</w:t>
            </w:r>
          </w:p>
          <w:p w14:paraId="39D91024" w14:textId="77777777" w:rsidR="00617EAD" w:rsidRDefault="00000000">
            <w:pPr>
              <w:jc w:val="center"/>
            </w:pPr>
            <w:r>
              <w:rPr>
                <w:color w:val="6B6F76"/>
                <w:sz w:val="16"/>
                <w:szCs w:val="16"/>
              </w:rPr>
              <w:t>Avg. Runs/Match Growth</w:t>
            </w:r>
          </w:p>
        </w:tc>
        <w:tc>
          <w:tcPr>
            <w:tcW w:w="1872" w:type="dxa"/>
            <w:tcBorders>
              <w:top w:val="single" w:sz="2" w:space="0" w:color="D9DCE1"/>
              <w:left w:val="single" w:sz="2" w:space="0" w:color="D9DCE1"/>
              <w:bottom w:val="single" w:sz="2" w:space="0" w:color="D9DCE1"/>
              <w:right w:val="single" w:sz="2" w:space="0" w:color="D9DCE1"/>
            </w:tcBorders>
            <w:shd w:val="clear" w:color="auto" w:fill="F2F4F7"/>
            <w:tcMar>
              <w:top w:w="160" w:type="dxa"/>
              <w:left w:w="80" w:type="dxa"/>
              <w:bottom w:w="160" w:type="dxa"/>
              <w:right w:w="80" w:type="dxa"/>
            </w:tcMar>
            <w:vAlign w:val="center"/>
          </w:tcPr>
          <w:p w14:paraId="574D15E2" w14:textId="77777777" w:rsidR="00617EAD" w:rsidRDefault="00000000">
            <w:pPr>
              <w:spacing w:after="60"/>
              <w:jc w:val="center"/>
            </w:pPr>
            <w:r>
              <w:rPr>
                <w:b/>
                <w:bCs/>
                <w:color w:val="1B2A4A"/>
                <w:sz w:val="26"/>
                <w:szCs w:val="26"/>
              </w:rPr>
              <w:t>CSK / MI</w:t>
            </w:r>
          </w:p>
          <w:p w14:paraId="434D7304" w14:textId="77777777" w:rsidR="00617EAD" w:rsidRDefault="00000000">
            <w:pPr>
              <w:jc w:val="center"/>
            </w:pPr>
            <w:r>
              <w:rPr>
                <w:color w:val="6B6F76"/>
                <w:sz w:val="16"/>
                <w:szCs w:val="16"/>
              </w:rPr>
              <w:t>Death-Over Leaders</w:t>
            </w:r>
          </w:p>
        </w:tc>
      </w:tr>
    </w:tbl>
    <w:p w14:paraId="11BC1454" w14:textId="77777777" w:rsidR="00D7317A" w:rsidRDefault="00D7317A">
      <w:pPr>
        <w:pStyle w:val="Heading1"/>
      </w:pPr>
    </w:p>
    <w:p w14:paraId="666BE92B" w14:textId="77777777" w:rsidR="00D7317A" w:rsidRDefault="00D7317A">
      <w:pPr>
        <w:pStyle w:val="Heading1"/>
      </w:pPr>
    </w:p>
    <w:p w14:paraId="40C0410C" w14:textId="776485BF" w:rsidR="00617EAD" w:rsidRDefault="00000000">
      <w:pPr>
        <w:pStyle w:val="Heading1"/>
      </w:pPr>
      <w:r>
        <w:t>Key Insights</w:t>
      </w:r>
    </w:p>
    <w:p w14:paraId="2A8C46DF" w14:textId="77777777" w:rsidR="00617EAD" w:rsidRDefault="00000000">
      <w:pPr>
        <w:pStyle w:val="Heading2"/>
      </w:pPr>
      <w:r>
        <w:t>1. Virat Kohli is the Leading Run Scorer in IPL History</w:t>
      </w:r>
    </w:p>
    <w:p w14:paraId="09193B90" w14:textId="5B5DAABA" w:rsidR="00617EAD" w:rsidRDefault="00000000" w:rsidP="00630660">
      <w:pPr>
        <w:spacing w:after="110" w:line="270" w:lineRule="auto"/>
      </w:pPr>
      <w:r>
        <w:t xml:space="preserve">Virat Kohli scored 8,014 runs, making him the highest run-scorer across all IPL seasons </w:t>
      </w:r>
      <w:proofErr w:type="spellStart"/>
      <w:r>
        <w:t>analyzed</w:t>
      </w:r>
      <w:proofErr w:type="spellEnd"/>
      <w:r>
        <w:t>. His consistency over multiple seasons demonstrates exceptional longevity and batting performance.</w:t>
      </w:r>
    </w:p>
    <w:p w14:paraId="41D6C9DD" w14:textId="06E6C5CF" w:rsidR="00630660" w:rsidRDefault="00630660" w:rsidP="00630660">
      <w:pPr>
        <w:spacing w:after="110" w:line="270" w:lineRule="auto"/>
      </w:pPr>
      <w:r>
        <w:rPr>
          <w:noProof/>
        </w:rPr>
        <w:lastRenderedPageBreak/>
        <w:drawing>
          <wp:inline distT="0" distB="0" distL="0" distR="0" wp14:anchorId="5E3F4A59" wp14:editId="123EA5CF">
            <wp:extent cx="5943600" cy="3514090"/>
            <wp:effectExtent l="0" t="0" r="0" b="0"/>
            <wp:docPr id="143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725" name="Picture 14361725"/>
                    <pic:cNvPicPr/>
                  </pic:nvPicPr>
                  <pic:blipFill>
                    <a:blip r:embed="rId7">
                      <a:extLst>
                        <a:ext uri="{28A0092B-C50C-407E-A947-70E740481C1C}">
                          <a14:useLocalDpi xmlns:a14="http://schemas.microsoft.com/office/drawing/2010/main" val="0"/>
                        </a:ext>
                      </a:extLst>
                    </a:blip>
                    <a:stretch>
                      <a:fillRect/>
                    </a:stretch>
                  </pic:blipFill>
                  <pic:spPr>
                    <a:xfrm>
                      <a:off x="0" y="0"/>
                      <a:ext cx="5943600" cy="3514090"/>
                    </a:xfrm>
                    <a:prstGeom prst="rect">
                      <a:avLst/>
                    </a:prstGeom>
                  </pic:spPr>
                </pic:pic>
              </a:graphicData>
            </a:graphic>
          </wp:inline>
        </w:drawing>
      </w:r>
    </w:p>
    <w:p w14:paraId="243C9053" w14:textId="77777777" w:rsidR="00630660" w:rsidRDefault="00630660">
      <w:pPr>
        <w:pStyle w:val="Heading2"/>
      </w:pPr>
    </w:p>
    <w:p w14:paraId="280EBD89" w14:textId="086BA243" w:rsidR="00617EAD" w:rsidRDefault="00000000">
      <w:pPr>
        <w:pStyle w:val="Heading2"/>
      </w:pPr>
      <w:r>
        <w:t>2. Fielding First Provides a Higher Winning Probability</w:t>
      </w:r>
    </w:p>
    <w:p w14:paraId="5889E96A" w14:textId="77777777" w:rsidR="00617EAD" w:rsidRDefault="00000000">
      <w:pPr>
        <w:spacing w:after="110" w:line="270" w:lineRule="auto"/>
      </w:pPr>
      <w:r>
        <w:t>Teams that chose to field first after winning the toss won approximately 53.55% of matches, compared to 45.27% for teams choosing to bat first.</w:t>
      </w:r>
    </w:p>
    <w:p w14:paraId="6696CFCB" w14:textId="3D833B9B" w:rsidR="00617EAD" w:rsidRDefault="00000000" w:rsidP="00630660">
      <w:pPr>
        <w:spacing w:after="110" w:line="270" w:lineRule="auto"/>
      </w:pPr>
      <w:r>
        <w:t>This suggests that chasing targets often provides a strategic advantage, allowing teams to adapt their batting approach based on the required score.</w:t>
      </w:r>
    </w:p>
    <w:p w14:paraId="028DBF36" w14:textId="2D2E4180" w:rsidR="00630660" w:rsidRDefault="00630660" w:rsidP="00630660">
      <w:pPr>
        <w:spacing w:after="110" w:line="270" w:lineRule="auto"/>
      </w:pPr>
      <w:r>
        <w:rPr>
          <w:noProof/>
        </w:rPr>
        <w:drawing>
          <wp:inline distT="0" distB="0" distL="0" distR="0" wp14:anchorId="6293A8B6" wp14:editId="41A094B9">
            <wp:extent cx="5158740" cy="3063240"/>
            <wp:effectExtent l="0" t="0" r="3810" b="3810"/>
            <wp:docPr id="2028433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3899" name="Picture 2028433899"/>
                    <pic:cNvPicPr/>
                  </pic:nvPicPr>
                  <pic:blipFill>
                    <a:blip r:embed="rId8">
                      <a:extLst>
                        <a:ext uri="{28A0092B-C50C-407E-A947-70E740481C1C}">
                          <a14:useLocalDpi xmlns:a14="http://schemas.microsoft.com/office/drawing/2010/main" val="0"/>
                        </a:ext>
                      </a:extLst>
                    </a:blip>
                    <a:stretch>
                      <a:fillRect/>
                    </a:stretch>
                  </pic:blipFill>
                  <pic:spPr>
                    <a:xfrm>
                      <a:off x="0" y="0"/>
                      <a:ext cx="5159188" cy="3063506"/>
                    </a:xfrm>
                    <a:prstGeom prst="rect">
                      <a:avLst/>
                    </a:prstGeom>
                  </pic:spPr>
                </pic:pic>
              </a:graphicData>
            </a:graphic>
          </wp:inline>
        </w:drawing>
      </w:r>
    </w:p>
    <w:p w14:paraId="42AE86D2" w14:textId="77777777" w:rsidR="00617EAD" w:rsidRDefault="00000000">
      <w:pPr>
        <w:pStyle w:val="Heading2"/>
      </w:pPr>
      <w:r>
        <w:lastRenderedPageBreak/>
        <w:t>3. IPL Has Become Significantly More High-Scoring</w:t>
      </w:r>
    </w:p>
    <w:p w14:paraId="3C770B98" w14:textId="77777777" w:rsidR="00617EAD" w:rsidRDefault="00000000">
      <w:pPr>
        <w:spacing w:after="110" w:line="270" w:lineRule="auto"/>
      </w:pPr>
      <w:r>
        <w:t>Average runs per match increased from around 309 runs in the early seasons to approximately 366 runs in 2024.</w:t>
      </w:r>
    </w:p>
    <w:p w14:paraId="50104D0E" w14:textId="7B643B75" w:rsidR="00617EAD" w:rsidRDefault="00000000" w:rsidP="00630660">
      <w:pPr>
        <w:spacing w:after="110" w:line="270" w:lineRule="auto"/>
      </w:pPr>
      <w:r>
        <w:t>The upward trend indicates increasingly aggressive batting strategies, improved power-hitting capabilities, and batting-friendly playing conditions.</w:t>
      </w:r>
    </w:p>
    <w:p w14:paraId="2FF79045" w14:textId="3F3E9A8D" w:rsidR="00630660" w:rsidRDefault="00630660" w:rsidP="00630660">
      <w:pPr>
        <w:spacing w:after="110" w:line="270" w:lineRule="auto"/>
      </w:pPr>
      <w:r>
        <w:rPr>
          <w:noProof/>
        </w:rPr>
        <w:drawing>
          <wp:inline distT="0" distB="0" distL="0" distR="0" wp14:anchorId="5FBBFBF9" wp14:editId="3A8FB544">
            <wp:extent cx="5943600" cy="3416300"/>
            <wp:effectExtent l="0" t="0" r="0" b="0"/>
            <wp:docPr id="2068672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2559" name="Picture 2068672559"/>
                    <pic:cNvPicPr/>
                  </pic:nvPicPr>
                  <pic:blipFill>
                    <a:blip r:embed="rId9">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3FA1FB42" w14:textId="77777777" w:rsidR="00D7317A" w:rsidRDefault="00D7317A">
      <w:pPr>
        <w:pStyle w:val="Heading2"/>
      </w:pPr>
    </w:p>
    <w:p w14:paraId="226D3172" w14:textId="77777777" w:rsidR="00D7317A" w:rsidRDefault="00D7317A">
      <w:pPr>
        <w:pStyle w:val="Heading2"/>
      </w:pPr>
    </w:p>
    <w:p w14:paraId="1C68F345" w14:textId="4430E27A" w:rsidR="00617EAD" w:rsidRDefault="00000000">
      <w:pPr>
        <w:pStyle w:val="Heading2"/>
      </w:pPr>
      <w:r>
        <w:t>4. Mumbai Indians Have Been One of the Most Dominant Franchises</w:t>
      </w:r>
    </w:p>
    <w:p w14:paraId="0149681A" w14:textId="77777777" w:rsidR="00617EAD" w:rsidRDefault="00000000">
      <w:pPr>
        <w:spacing w:after="110" w:line="270" w:lineRule="auto"/>
      </w:pPr>
      <w:r>
        <w:t>Mumbai Indians achieved the highest seasonal win percentage multiple times (2009/10, 2013, 2017, 2019, and 2020/21).</w:t>
      </w:r>
    </w:p>
    <w:p w14:paraId="782B4C3D" w14:textId="77777777" w:rsidR="00617EAD" w:rsidRDefault="00000000">
      <w:pPr>
        <w:spacing w:after="110" w:line="270" w:lineRule="auto"/>
      </w:pPr>
      <w:r>
        <w:t>Their consistent presence among the top-performing teams demonstrates strong squad management and adaptability across different IPL eras.</w:t>
      </w:r>
    </w:p>
    <w:p w14:paraId="73233F28" w14:textId="77777777" w:rsidR="00D7317A" w:rsidRDefault="00D7317A">
      <w:pPr>
        <w:spacing w:after="110" w:line="270" w:lineRule="auto"/>
      </w:pPr>
    </w:p>
    <w:p w14:paraId="3062D613" w14:textId="77777777" w:rsidR="00D7317A" w:rsidRDefault="00D7317A">
      <w:pPr>
        <w:spacing w:after="110" w:line="270" w:lineRule="auto"/>
      </w:pPr>
    </w:p>
    <w:p w14:paraId="78CC2F32" w14:textId="23B1FB6B" w:rsidR="00630660" w:rsidRDefault="00630660">
      <w:pPr>
        <w:spacing w:after="110" w:line="270" w:lineRule="auto"/>
      </w:pPr>
      <w:r>
        <w:rPr>
          <w:noProof/>
        </w:rPr>
        <w:drawing>
          <wp:inline distT="0" distB="0" distL="0" distR="0" wp14:anchorId="7E06FD40" wp14:editId="2D27E6B3">
            <wp:extent cx="4160881" cy="495343"/>
            <wp:effectExtent l="0" t="0" r="0" b="0"/>
            <wp:docPr id="890067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67571" name="Picture 890067571"/>
                    <pic:cNvPicPr/>
                  </pic:nvPicPr>
                  <pic:blipFill>
                    <a:blip r:embed="rId10">
                      <a:extLst>
                        <a:ext uri="{28A0092B-C50C-407E-A947-70E740481C1C}">
                          <a14:useLocalDpi xmlns:a14="http://schemas.microsoft.com/office/drawing/2010/main" val="0"/>
                        </a:ext>
                      </a:extLst>
                    </a:blip>
                    <a:stretch>
                      <a:fillRect/>
                    </a:stretch>
                  </pic:blipFill>
                  <pic:spPr>
                    <a:xfrm>
                      <a:off x="0" y="0"/>
                      <a:ext cx="4160881" cy="495343"/>
                    </a:xfrm>
                    <a:prstGeom prst="rect">
                      <a:avLst/>
                    </a:prstGeom>
                  </pic:spPr>
                </pic:pic>
              </a:graphicData>
            </a:graphic>
          </wp:inline>
        </w:drawing>
      </w:r>
    </w:p>
    <w:p w14:paraId="1944E7B4" w14:textId="77777777" w:rsidR="00D7317A" w:rsidRDefault="00D7317A">
      <w:pPr>
        <w:pStyle w:val="Heading2"/>
      </w:pPr>
    </w:p>
    <w:p w14:paraId="6C7E9D67" w14:textId="77777777" w:rsidR="00D7317A" w:rsidRDefault="00D7317A">
      <w:pPr>
        <w:pStyle w:val="Heading2"/>
      </w:pPr>
    </w:p>
    <w:p w14:paraId="7614E23C" w14:textId="77777777" w:rsidR="00D7317A" w:rsidRDefault="00D7317A">
      <w:pPr>
        <w:pStyle w:val="Heading2"/>
      </w:pPr>
    </w:p>
    <w:p w14:paraId="3E9BC3E3" w14:textId="50696357" w:rsidR="00617EAD" w:rsidRDefault="00000000">
      <w:pPr>
        <w:pStyle w:val="Heading2"/>
      </w:pPr>
      <w:r>
        <w:t>5. Chennai Super Kings and Mumbai Indians Excel in Death Overs</w:t>
      </w:r>
    </w:p>
    <w:p w14:paraId="78B6B454" w14:textId="77777777" w:rsidR="00617EAD" w:rsidRDefault="00000000">
      <w:pPr>
        <w:spacing w:after="110" w:line="270" w:lineRule="auto"/>
      </w:pPr>
      <w:r>
        <w:t>Death-over analysis revealed that Chennai Super Kings and Mumbai Indians maintained the highest median runs scored during overs 16–20.</w:t>
      </w:r>
    </w:p>
    <w:p w14:paraId="32C21C9D" w14:textId="234B7D9B" w:rsidR="00617EAD" w:rsidRDefault="00000000" w:rsidP="00630660">
      <w:pPr>
        <w:spacing w:after="110" w:line="270" w:lineRule="auto"/>
      </w:pPr>
      <w:r>
        <w:t>This indicates strong finishing ability and effective utilization of power hitters during the most crucial phase of an innings.</w:t>
      </w:r>
    </w:p>
    <w:p w14:paraId="042769D6" w14:textId="54323F50" w:rsidR="00630660" w:rsidRDefault="00630660" w:rsidP="00630660">
      <w:pPr>
        <w:spacing w:after="110" w:line="270" w:lineRule="auto"/>
      </w:pPr>
      <w:r>
        <w:rPr>
          <w:noProof/>
        </w:rPr>
        <w:drawing>
          <wp:inline distT="0" distB="0" distL="0" distR="0" wp14:anchorId="26B3CC09" wp14:editId="5E1A27C9">
            <wp:extent cx="2903472" cy="2057578"/>
            <wp:effectExtent l="0" t="0" r="0" b="0"/>
            <wp:docPr id="961085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5673" name="Picture 961085673"/>
                    <pic:cNvPicPr/>
                  </pic:nvPicPr>
                  <pic:blipFill>
                    <a:blip r:embed="rId11">
                      <a:extLst>
                        <a:ext uri="{28A0092B-C50C-407E-A947-70E740481C1C}">
                          <a14:useLocalDpi xmlns:a14="http://schemas.microsoft.com/office/drawing/2010/main" val="0"/>
                        </a:ext>
                      </a:extLst>
                    </a:blip>
                    <a:stretch>
                      <a:fillRect/>
                    </a:stretch>
                  </pic:blipFill>
                  <pic:spPr>
                    <a:xfrm>
                      <a:off x="0" y="0"/>
                      <a:ext cx="2903472" cy="2057578"/>
                    </a:xfrm>
                    <a:prstGeom prst="rect">
                      <a:avLst/>
                    </a:prstGeom>
                  </pic:spPr>
                </pic:pic>
              </a:graphicData>
            </a:graphic>
          </wp:inline>
        </w:drawing>
      </w:r>
    </w:p>
    <w:p w14:paraId="64CF8FF6" w14:textId="77777777" w:rsidR="00D7317A" w:rsidRDefault="00D7317A">
      <w:pPr>
        <w:pStyle w:val="Heading1"/>
      </w:pPr>
    </w:p>
    <w:p w14:paraId="7242E023" w14:textId="77777777" w:rsidR="00D7317A" w:rsidRDefault="00D7317A">
      <w:pPr>
        <w:pStyle w:val="Heading1"/>
      </w:pPr>
    </w:p>
    <w:p w14:paraId="5BD0835B" w14:textId="09D2ACFB" w:rsidR="00617EAD" w:rsidRDefault="00000000">
      <w:pPr>
        <w:pStyle w:val="Heading1"/>
      </w:pPr>
      <w:r>
        <w:t>Strongest Findings Summary</w:t>
      </w:r>
    </w:p>
    <w:p w14:paraId="694C2F78" w14:textId="77777777" w:rsidR="00617EAD" w:rsidRDefault="00000000">
      <w:pPr>
        <w:spacing w:after="110" w:line="270" w:lineRule="auto"/>
      </w:pPr>
      <w:r>
        <w:t>The table below consolidates the five most statistically significant findings from this analysis.</w:t>
      </w:r>
    </w:p>
    <w:p w14:paraId="2AC600A3" w14:textId="77777777" w:rsidR="00617EAD" w:rsidRDefault="00617EAD">
      <w:pPr>
        <w:spacing w:before="10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200"/>
        <w:gridCol w:w="2400"/>
        <w:gridCol w:w="2200"/>
      </w:tblGrid>
      <w:tr w:rsidR="00617EAD" w14:paraId="50BE128C"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1B2A4A"/>
            <w:tcMar>
              <w:top w:w="100" w:type="dxa"/>
              <w:left w:w="140" w:type="dxa"/>
              <w:bottom w:w="100" w:type="dxa"/>
              <w:right w:w="140" w:type="dxa"/>
            </w:tcMar>
            <w:vAlign w:val="center"/>
          </w:tcPr>
          <w:p w14:paraId="0913323A" w14:textId="77777777" w:rsidR="00617EAD" w:rsidRDefault="00000000">
            <w:r>
              <w:rPr>
                <w:b/>
                <w:bCs/>
                <w:color w:val="FFFFFF"/>
                <w:sz w:val="20"/>
                <w:szCs w:val="20"/>
              </w:rPr>
              <w:t>#</w:t>
            </w:r>
          </w:p>
        </w:tc>
        <w:tc>
          <w:tcPr>
            <w:tcW w:w="4200" w:type="dxa"/>
            <w:tcBorders>
              <w:top w:val="single" w:sz="2" w:space="0" w:color="D9DCE1"/>
              <w:left w:val="single" w:sz="2" w:space="0" w:color="D9DCE1"/>
              <w:bottom w:val="single" w:sz="2" w:space="0" w:color="D9DCE1"/>
              <w:right w:val="single" w:sz="2" w:space="0" w:color="D9DCE1"/>
            </w:tcBorders>
            <w:shd w:val="clear" w:color="auto" w:fill="1B2A4A"/>
            <w:tcMar>
              <w:top w:w="100" w:type="dxa"/>
              <w:left w:w="140" w:type="dxa"/>
              <w:bottom w:w="100" w:type="dxa"/>
              <w:right w:w="140" w:type="dxa"/>
            </w:tcMar>
            <w:vAlign w:val="center"/>
          </w:tcPr>
          <w:p w14:paraId="407A99B6" w14:textId="77777777" w:rsidR="00617EAD" w:rsidRDefault="00000000">
            <w:r>
              <w:rPr>
                <w:b/>
                <w:bCs/>
                <w:color w:val="FFFFFF"/>
                <w:sz w:val="20"/>
                <w:szCs w:val="20"/>
              </w:rPr>
              <w:t>Finding</w:t>
            </w:r>
          </w:p>
        </w:tc>
        <w:tc>
          <w:tcPr>
            <w:tcW w:w="2400" w:type="dxa"/>
            <w:tcBorders>
              <w:top w:val="single" w:sz="2" w:space="0" w:color="D9DCE1"/>
              <w:left w:val="single" w:sz="2" w:space="0" w:color="D9DCE1"/>
              <w:bottom w:val="single" w:sz="2" w:space="0" w:color="D9DCE1"/>
              <w:right w:val="single" w:sz="2" w:space="0" w:color="D9DCE1"/>
            </w:tcBorders>
            <w:shd w:val="clear" w:color="auto" w:fill="1B2A4A"/>
            <w:tcMar>
              <w:top w:w="100" w:type="dxa"/>
              <w:left w:w="140" w:type="dxa"/>
              <w:bottom w:w="100" w:type="dxa"/>
              <w:right w:w="140" w:type="dxa"/>
            </w:tcMar>
            <w:vAlign w:val="center"/>
          </w:tcPr>
          <w:p w14:paraId="3A67AF43" w14:textId="77777777" w:rsidR="00617EAD" w:rsidRDefault="00000000">
            <w:r>
              <w:rPr>
                <w:b/>
                <w:bCs/>
                <w:color w:val="FFFFFF"/>
                <w:sz w:val="20"/>
                <w:szCs w:val="20"/>
              </w:rPr>
              <w:t>Key Figure</w:t>
            </w:r>
          </w:p>
        </w:tc>
        <w:tc>
          <w:tcPr>
            <w:tcW w:w="2200" w:type="dxa"/>
            <w:tcBorders>
              <w:top w:val="single" w:sz="2" w:space="0" w:color="D9DCE1"/>
              <w:left w:val="single" w:sz="2" w:space="0" w:color="D9DCE1"/>
              <w:bottom w:val="single" w:sz="2" w:space="0" w:color="D9DCE1"/>
              <w:right w:val="single" w:sz="2" w:space="0" w:color="D9DCE1"/>
            </w:tcBorders>
            <w:shd w:val="clear" w:color="auto" w:fill="1B2A4A"/>
            <w:tcMar>
              <w:top w:w="100" w:type="dxa"/>
              <w:left w:w="140" w:type="dxa"/>
              <w:bottom w:w="100" w:type="dxa"/>
              <w:right w:w="140" w:type="dxa"/>
            </w:tcMar>
            <w:vAlign w:val="center"/>
          </w:tcPr>
          <w:p w14:paraId="36BB7681" w14:textId="77777777" w:rsidR="00617EAD" w:rsidRDefault="00000000">
            <w:r>
              <w:rPr>
                <w:b/>
                <w:bCs/>
                <w:color w:val="FFFFFF"/>
                <w:sz w:val="20"/>
                <w:szCs w:val="20"/>
              </w:rPr>
              <w:t>Category</w:t>
            </w:r>
          </w:p>
        </w:tc>
      </w:tr>
      <w:tr w:rsidR="00617EAD" w14:paraId="14224A5A"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26DA5CFA" w14:textId="77777777" w:rsidR="00617EAD" w:rsidRDefault="00000000">
            <w:pPr>
              <w:jc w:val="center"/>
            </w:pPr>
            <w:r>
              <w:rPr>
                <w:b/>
                <w:bCs/>
                <w:sz w:val="20"/>
                <w:szCs w:val="20"/>
              </w:rPr>
              <w:t>1</w:t>
            </w:r>
          </w:p>
        </w:tc>
        <w:tc>
          <w:tcPr>
            <w:tcW w:w="4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222DADAD" w14:textId="77777777" w:rsidR="00617EAD" w:rsidRDefault="00000000">
            <w:r>
              <w:rPr>
                <w:sz w:val="20"/>
                <w:szCs w:val="20"/>
              </w:rPr>
              <w:t>Virat Kohli is the all-time highest run scorer in IPL history</w:t>
            </w:r>
          </w:p>
        </w:tc>
        <w:tc>
          <w:tcPr>
            <w:tcW w:w="24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4D6C8AEE" w14:textId="77777777" w:rsidR="00617EAD" w:rsidRDefault="00000000">
            <w:pPr>
              <w:jc w:val="center"/>
            </w:pPr>
            <w:r>
              <w:rPr>
                <w:b/>
                <w:bCs/>
                <w:color w:val="1B2A4A"/>
                <w:sz w:val="20"/>
                <w:szCs w:val="20"/>
              </w:rPr>
              <w:t>8,014 runs</w:t>
            </w:r>
          </w:p>
        </w:tc>
        <w:tc>
          <w:tcPr>
            <w:tcW w:w="2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581AB86E" w14:textId="77777777" w:rsidR="00617EAD" w:rsidRDefault="00000000">
            <w:r>
              <w:rPr>
                <w:sz w:val="20"/>
                <w:szCs w:val="20"/>
              </w:rPr>
              <w:t>Individual Batting</w:t>
            </w:r>
          </w:p>
        </w:tc>
      </w:tr>
      <w:tr w:rsidR="00617EAD" w14:paraId="0C9CF372"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028B11E0" w14:textId="77777777" w:rsidR="00617EAD" w:rsidRDefault="00000000">
            <w:pPr>
              <w:jc w:val="center"/>
            </w:pPr>
            <w:r>
              <w:rPr>
                <w:b/>
                <w:bCs/>
                <w:sz w:val="20"/>
                <w:szCs w:val="20"/>
              </w:rPr>
              <w:t>2</w:t>
            </w:r>
          </w:p>
        </w:tc>
        <w:tc>
          <w:tcPr>
            <w:tcW w:w="42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2C39742D" w14:textId="77777777" w:rsidR="00617EAD" w:rsidRDefault="00000000">
            <w:r>
              <w:rPr>
                <w:sz w:val="20"/>
                <w:szCs w:val="20"/>
              </w:rPr>
              <w:t>Fielding first after winning the toss yields a higher win rate</w:t>
            </w:r>
          </w:p>
        </w:tc>
        <w:tc>
          <w:tcPr>
            <w:tcW w:w="24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332AA5DD" w14:textId="77777777" w:rsidR="00617EAD" w:rsidRDefault="00000000">
            <w:pPr>
              <w:jc w:val="center"/>
            </w:pPr>
            <w:r>
              <w:rPr>
                <w:b/>
                <w:bCs/>
                <w:color w:val="1B2A4A"/>
                <w:sz w:val="20"/>
                <w:szCs w:val="20"/>
              </w:rPr>
              <w:t>53.55% vs 45.27%</w:t>
            </w:r>
          </w:p>
        </w:tc>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0629CCA8" w14:textId="77777777" w:rsidR="00617EAD" w:rsidRDefault="00000000">
            <w:r>
              <w:rPr>
                <w:sz w:val="20"/>
                <w:szCs w:val="20"/>
              </w:rPr>
              <w:t>Toss Strategy</w:t>
            </w:r>
          </w:p>
        </w:tc>
      </w:tr>
      <w:tr w:rsidR="00617EAD" w14:paraId="3E2A718C"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7C34088B" w14:textId="77777777" w:rsidR="00617EAD" w:rsidRDefault="00000000">
            <w:pPr>
              <w:jc w:val="center"/>
            </w:pPr>
            <w:r>
              <w:rPr>
                <w:b/>
                <w:bCs/>
                <w:sz w:val="20"/>
                <w:szCs w:val="20"/>
              </w:rPr>
              <w:t>3</w:t>
            </w:r>
          </w:p>
        </w:tc>
        <w:tc>
          <w:tcPr>
            <w:tcW w:w="4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7338BC2C" w14:textId="77777777" w:rsidR="00617EAD" w:rsidRDefault="00000000">
            <w:r>
              <w:rPr>
                <w:sz w:val="20"/>
                <w:szCs w:val="20"/>
              </w:rPr>
              <w:t>Average runs per match rose substantially across seasons</w:t>
            </w:r>
          </w:p>
        </w:tc>
        <w:tc>
          <w:tcPr>
            <w:tcW w:w="24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6297D19A" w14:textId="77777777" w:rsidR="00617EAD" w:rsidRDefault="00000000">
            <w:pPr>
              <w:jc w:val="center"/>
            </w:pPr>
            <w:r>
              <w:rPr>
                <w:b/>
                <w:bCs/>
                <w:color w:val="1B2A4A"/>
                <w:sz w:val="20"/>
                <w:szCs w:val="20"/>
              </w:rPr>
              <w:t>309 → 366 runs</w:t>
            </w:r>
          </w:p>
        </w:tc>
        <w:tc>
          <w:tcPr>
            <w:tcW w:w="2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7550F741" w14:textId="77777777" w:rsidR="00617EAD" w:rsidRDefault="00000000">
            <w:r>
              <w:rPr>
                <w:sz w:val="20"/>
                <w:szCs w:val="20"/>
              </w:rPr>
              <w:t>Scoring Trend</w:t>
            </w:r>
          </w:p>
        </w:tc>
      </w:tr>
      <w:tr w:rsidR="00617EAD" w14:paraId="458752F5"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7D52E84A" w14:textId="77777777" w:rsidR="00617EAD" w:rsidRDefault="00000000">
            <w:pPr>
              <w:jc w:val="center"/>
            </w:pPr>
            <w:r>
              <w:rPr>
                <w:b/>
                <w:bCs/>
                <w:sz w:val="20"/>
                <w:szCs w:val="20"/>
              </w:rPr>
              <w:t>4</w:t>
            </w:r>
          </w:p>
        </w:tc>
        <w:tc>
          <w:tcPr>
            <w:tcW w:w="42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70A65651" w14:textId="77777777" w:rsidR="00617EAD" w:rsidRDefault="00000000">
            <w:r>
              <w:rPr>
                <w:sz w:val="20"/>
                <w:szCs w:val="20"/>
              </w:rPr>
              <w:t>Mumbai Indians repeatedly posted the highest seasonal win %</w:t>
            </w:r>
          </w:p>
        </w:tc>
        <w:tc>
          <w:tcPr>
            <w:tcW w:w="24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384A4FF2" w14:textId="77777777" w:rsidR="00617EAD" w:rsidRDefault="00000000">
            <w:pPr>
              <w:jc w:val="center"/>
            </w:pPr>
            <w:r>
              <w:rPr>
                <w:b/>
                <w:bCs/>
                <w:color w:val="1B2A4A"/>
                <w:sz w:val="20"/>
                <w:szCs w:val="20"/>
              </w:rPr>
              <w:t>5 seasons led</w:t>
            </w:r>
          </w:p>
        </w:tc>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70" w:type="dxa"/>
              <w:left w:w="140" w:type="dxa"/>
              <w:bottom w:w="70" w:type="dxa"/>
              <w:right w:w="140" w:type="dxa"/>
            </w:tcMar>
            <w:vAlign w:val="center"/>
          </w:tcPr>
          <w:p w14:paraId="15E9CDC2" w14:textId="77777777" w:rsidR="00617EAD" w:rsidRDefault="00000000">
            <w:r>
              <w:rPr>
                <w:sz w:val="20"/>
                <w:szCs w:val="20"/>
              </w:rPr>
              <w:t>Team Dominance</w:t>
            </w:r>
          </w:p>
        </w:tc>
      </w:tr>
      <w:tr w:rsidR="00617EAD" w14:paraId="4E4C34EA" w14:textId="77777777">
        <w:tblPrEx>
          <w:tblCellMar>
            <w:top w:w="0" w:type="dxa"/>
            <w:bottom w:w="0" w:type="dxa"/>
          </w:tblCellMar>
        </w:tblPrEx>
        <w:tc>
          <w:tcPr>
            <w:tcW w:w="56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738665C8" w14:textId="77777777" w:rsidR="00617EAD" w:rsidRDefault="00000000">
            <w:pPr>
              <w:jc w:val="center"/>
            </w:pPr>
            <w:r>
              <w:rPr>
                <w:b/>
                <w:bCs/>
                <w:sz w:val="20"/>
                <w:szCs w:val="20"/>
              </w:rPr>
              <w:t>5</w:t>
            </w:r>
          </w:p>
        </w:tc>
        <w:tc>
          <w:tcPr>
            <w:tcW w:w="4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05FB8F43" w14:textId="77777777" w:rsidR="00617EAD" w:rsidRDefault="00000000">
            <w:r>
              <w:rPr>
                <w:sz w:val="20"/>
                <w:szCs w:val="20"/>
              </w:rPr>
              <w:t>CSK and MI are the strongest death-over (16–20) batting teams</w:t>
            </w:r>
          </w:p>
        </w:tc>
        <w:tc>
          <w:tcPr>
            <w:tcW w:w="24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1EB3BC82" w14:textId="77777777" w:rsidR="00617EAD" w:rsidRDefault="00000000">
            <w:pPr>
              <w:jc w:val="center"/>
            </w:pPr>
            <w:r>
              <w:rPr>
                <w:b/>
                <w:bCs/>
                <w:color w:val="1B2A4A"/>
                <w:sz w:val="20"/>
                <w:szCs w:val="20"/>
              </w:rPr>
              <w:t>Highest median runs</w:t>
            </w:r>
          </w:p>
        </w:tc>
        <w:tc>
          <w:tcPr>
            <w:tcW w:w="2200" w:type="dxa"/>
            <w:tcBorders>
              <w:top w:val="single" w:sz="2" w:space="0" w:color="D9DCE1"/>
              <w:left w:val="single" w:sz="2" w:space="0" w:color="D9DCE1"/>
              <w:bottom w:val="single" w:sz="2" w:space="0" w:color="D9DCE1"/>
              <w:right w:val="single" w:sz="2" w:space="0" w:color="D9DCE1"/>
            </w:tcBorders>
            <w:shd w:val="clear" w:color="auto" w:fill="F2F4F7"/>
            <w:tcMar>
              <w:top w:w="70" w:type="dxa"/>
              <w:left w:w="140" w:type="dxa"/>
              <w:bottom w:w="70" w:type="dxa"/>
              <w:right w:w="140" w:type="dxa"/>
            </w:tcMar>
            <w:vAlign w:val="center"/>
          </w:tcPr>
          <w:p w14:paraId="70537F6C" w14:textId="77777777" w:rsidR="00617EAD" w:rsidRDefault="00000000">
            <w:r>
              <w:rPr>
                <w:sz w:val="20"/>
                <w:szCs w:val="20"/>
              </w:rPr>
              <w:t>Death-Over Execution</w:t>
            </w:r>
          </w:p>
        </w:tc>
      </w:tr>
    </w:tbl>
    <w:p w14:paraId="5BFA8E49" w14:textId="77777777" w:rsidR="00D7317A" w:rsidRDefault="00D7317A">
      <w:pPr>
        <w:pStyle w:val="Heading1"/>
      </w:pPr>
    </w:p>
    <w:p w14:paraId="5C96D763" w14:textId="0A9D9F72" w:rsidR="00617EAD" w:rsidRDefault="00000000">
      <w:pPr>
        <w:pStyle w:val="Heading1"/>
      </w:pPr>
      <w:r>
        <w:lastRenderedPageBreak/>
        <w:t>Recommendation for Team Strategy</w:t>
      </w:r>
    </w:p>
    <w:p w14:paraId="21D1DDC3" w14:textId="77777777" w:rsidR="00617EAD" w:rsidRDefault="00000000">
      <w:pPr>
        <w:spacing w:after="110" w:line="270" w:lineRule="auto"/>
      </w:pPr>
      <w:r>
        <w:t xml:space="preserve">Based on the analysis, IPL teams should prefer to field first after winning the toss whenever pitch and weather conditions are </w:t>
      </w:r>
      <w:proofErr w:type="spellStart"/>
      <w:r>
        <w:t>favorable</w:t>
      </w:r>
      <w:proofErr w:type="spellEnd"/>
      <w:r>
        <w:t>.</w:t>
      </w:r>
    </w:p>
    <w:p w14:paraId="0B3551CB" w14:textId="77777777" w:rsidR="00617EAD" w:rsidRDefault="00000000">
      <w:pPr>
        <w:spacing w:after="110" w:line="270" w:lineRule="auto"/>
      </w:pPr>
      <w:r>
        <w:t>The data shows that teams choosing to field first achieved a higher match-winning percentage than teams choosing to bat first. Chasing allows teams to adjust their scoring rate according to the target and make more informed tactical decisions throughout the innings.</w:t>
      </w:r>
    </w:p>
    <w:p w14:paraId="178F84F5" w14:textId="77777777" w:rsidR="00617EAD" w:rsidRDefault="00000000">
      <w:pPr>
        <w:spacing w:after="110" w:line="270" w:lineRule="auto"/>
      </w:pPr>
      <w:r>
        <w:t>Additionally, teams should invest in specialist finishers capable of accelerating scoring during overs 16–20. Death-over performance emerged as a key differentiator between successful and average teams. Strong finishing can significantly increase the probability of winning close matches.</w:t>
      </w:r>
    </w:p>
    <w:p w14:paraId="77EC64EC" w14:textId="77777777" w:rsidR="00617EAD" w:rsidRDefault="00617EAD">
      <w:pPr>
        <w:spacing w:before="60"/>
      </w:pPr>
    </w:p>
    <w:p w14:paraId="42E89B3C" w14:textId="77777777" w:rsidR="00617EAD" w:rsidRDefault="00000000">
      <w:pPr>
        <w:pStyle w:val="ListParagraph"/>
        <w:numPr>
          <w:ilvl w:val="0"/>
          <w:numId w:val="2"/>
        </w:numPr>
        <w:spacing w:after="50" w:line="260" w:lineRule="auto"/>
      </w:pPr>
      <w:r>
        <w:t>Prefer fielding first after winning the toss when conditions allow it.</w:t>
      </w:r>
    </w:p>
    <w:p w14:paraId="70981D0B" w14:textId="77777777" w:rsidR="00617EAD" w:rsidRDefault="00000000">
      <w:pPr>
        <w:pStyle w:val="ListParagraph"/>
        <w:numPr>
          <w:ilvl w:val="0"/>
          <w:numId w:val="2"/>
        </w:numPr>
        <w:spacing w:after="50" w:line="260" w:lineRule="auto"/>
      </w:pPr>
      <w:r>
        <w:t>Build squads around proven death-over finishers (overs 16–20).</w:t>
      </w:r>
    </w:p>
    <w:p w14:paraId="169F1D71" w14:textId="77777777" w:rsidR="00617EAD" w:rsidRDefault="00000000">
      <w:pPr>
        <w:pStyle w:val="ListParagraph"/>
        <w:numPr>
          <w:ilvl w:val="0"/>
          <w:numId w:val="2"/>
        </w:numPr>
        <w:spacing w:after="50" w:line="260" w:lineRule="auto"/>
      </w:pPr>
      <w:r>
        <w:t>Continue to prioritize aggressive, power-hitting batting depth given the league-wide scoring trend.</w:t>
      </w:r>
    </w:p>
    <w:p w14:paraId="713947FF" w14:textId="77777777" w:rsidR="00617EAD" w:rsidRDefault="00000000">
      <w:pPr>
        <w:pStyle w:val="ListParagraph"/>
        <w:numPr>
          <w:ilvl w:val="0"/>
          <w:numId w:val="2"/>
        </w:numPr>
        <w:spacing w:after="50" w:line="260" w:lineRule="auto"/>
      </w:pPr>
      <w:r>
        <w:t>Use historical toss and venue data as inputs to pre-match tactical planning.</w:t>
      </w:r>
    </w:p>
    <w:p w14:paraId="22BCF365" w14:textId="77777777" w:rsidR="00D7317A" w:rsidRDefault="00D7317A">
      <w:pPr>
        <w:pStyle w:val="Heading1"/>
      </w:pPr>
    </w:p>
    <w:p w14:paraId="3D8BFA92" w14:textId="3631775D" w:rsidR="00617EAD" w:rsidRDefault="00000000">
      <w:pPr>
        <w:pStyle w:val="Heading1"/>
      </w:pPr>
      <w:r>
        <w:t>Self-Reflection</w:t>
      </w:r>
    </w:p>
    <w:p w14:paraId="3E189379" w14:textId="77777777" w:rsidR="00617EAD" w:rsidRDefault="00000000">
      <w:pPr>
        <w:spacing w:after="110" w:line="270" w:lineRule="auto"/>
      </w:pPr>
      <w:r>
        <w:t>One limitation of the dataset is the lack of contextual information such as player fitness, pitch conditions, weather, and player roles. While the dataset captures ball-by-ball events and match outcomes, it does not explain why certain performances occurred.</w:t>
      </w:r>
    </w:p>
    <w:p w14:paraId="4FDE5A07" w14:textId="77777777" w:rsidR="00617EAD" w:rsidRDefault="00000000">
      <w:pPr>
        <w:spacing w:after="110" w:line="270" w:lineRule="auto"/>
      </w:pPr>
      <w:r>
        <w:t>Additional information that would enhance the analysis includes:</w:t>
      </w:r>
    </w:p>
    <w:p w14:paraId="2030ACEA" w14:textId="77777777" w:rsidR="00617EAD" w:rsidRDefault="00000000">
      <w:pPr>
        <w:pStyle w:val="ListParagraph"/>
        <w:numPr>
          <w:ilvl w:val="0"/>
          <w:numId w:val="2"/>
        </w:numPr>
        <w:spacing w:after="50" w:line="260" w:lineRule="auto"/>
      </w:pPr>
      <w:r>
        <w:t>Pitch characteristics (batting-friendly, spin-friendly, pace-friendly)</w:t>
      </w:r>
    </w:p>
    <w:p w14:paraId="066655D8" w14:textId="77777777" w:rsidR="00617EAD" w:rsidRDefault="00000000">
      <w:pPr>
        <w:pStyle w:val="ListParagraph"/>
        <w:numPr>
          <w:ilvl w:val="0"/>
          <w:numId w:val="2"/>
        </w:numPr>
        <w:spacing w:after="50" w:line="260" w:lineRule="auto"/>
      </w:pPr>
      <w:r>
        <w:t>Weather conditions during matches</w:t>
      </w:r>
    </w:p>
    <w:p w14:paraId="1EF7E1DD" w14:textId="77777777" w:rsidR="00617EAD" w:rsidRDefault="00000000">
      <w:pPr>
        <w:pStyle w:val="ListParagraph"/>
        <w:numPr>
          <w:ilvl w:val="0"/>
          <w:numId w:val="2"/>
        </w:numPr>
        <w:spacing w:after="50" w:line="260" w:lineRule="auto"/>
      </w:pPr>
      <w:r>
        <w:t>Player fitness and injury records</w:t>
      </w:r>
    </w:p>
    <w:p w14:paraId="26A09D13" w14:textId="77777777" w:rsidR="00617EAD" w:rsidRDefault="00000000">
      <w:pPr>
        <w:pStyle w:val="ListParagraph"/>
        <w:numPr>
          <w:ilvl w:val="0"/>
          <w:numId w:val="2"/>
        </w:numPr>
        <w:spacing w:after="50" w:line="260" w:lineRule="auto"/>
      </w:pPr>
      <w:r>
        <w:t>Batting position and player role information</w:t>
      </w:r>
    </w:p>
    <w:p w14:paraId="7AB6A7CF" w14:textId="77777777" w:rsidR="00617EAD" w:rsidRDefault="00000000">
      <w:pPr>
        <w:pStyle w:val="ListParagraph"/>
        <w:numPr>
          <w:ilvl w:val="0"/>
          <w:numId w:val="2"/>
        </w:numPr>
        <w:spacing w:after="50" w:line="260" w:lineRule="auto"/>
      </w:pPr>
      <w:r>
        <w:t>Detailed field placement and bowling strategy data</w:t>
      </w:r>
    </w:p>
    <w:p w14:paraId="4C509C18" w14:textId="77777777" w:rsidR="00617EAD" w:rsidRDefault="00000000">
      <w:pPr>
        <w:spacing w:after="110" w:line="270" w:lineRule="auto"/>
      </w:pPr>
      <w:r>
        <w:t>Incorporating these variables would enable deeper predictive analysis and provide a more comprehensive understanding of factors influencing IPL match outcomes.</w:t>
      </w:r>
    </w:p>
    <w:sectPr w:rsidR="00617EAD">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BC0C" w14:textId="77777777" w:rsidR="007D6E39" w:rsidRDefault="007D6E39">
      <w:r>
        <w:separator/>
      </w:r>
    </w:p>
  </w:endnote>
  <w:endnote w:type="continuationSeparator" w:id="0">
    <w:p w14:paraId="6E432609" w14:textId="77777777" w:rsidR="007D6E39" w:rsidRDefault="007D6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6665" w14:textId="2C624C4B" w:rsidR="00617EAD" w:rsidRDefault="00000000">
    <w:pPr>
      <w:tabs>
        <w:tab w:val="right" w:pos="9026"/>
      </w:tabs>
    </w:pPr>
    <w:r>
      <w:rPr>
        <w:color w:val="6B6F76"/>
        <w:sz w:val="16"/>
        <w:szCs w:val="16"/>
      </w:rPr>
      <w:tab/>
      <w:t xml:space="preserve">Page </w:t>
    </w:r>
    <w:r>
      <w:rPr>
        <w:color w:val="6B6F76"/>
        <w:sz w:val="16"/>
        <w:szCs w:val="16"/>
      </w:rPr>
      <w:fldChar w:fldCharType="begin"/>
    </w:r>
    <w:r>
      <w:rPr>
        <w:color w:val="6B6F76"/>
        <w:sz w:val="16"/>
        <w:szCs w:val="16"/>
      </w:rPr>
      <w:instrText>PAGE</w:instrText>
    </w:r>
    <w:r>
      <w:rPr>
        <w:color w:val="6B6F76"/>
        <w:sz w:val="16"/>
        <w:szCs w:val="16"/>
      </w:rPr>
      <w:fldChar w:fldCharType="separate"/>
    </w:r>
    <w:r w:rsidR="00630660">
      <w:rPr>
        <w:noProof/>
        <w:color w:val="6B6F76"/>
        <w:sz w:val="16"/>
        <w:szCs w:val="16"/>
      </w:rPr>
      <w:t>1</w:t>
    </w:r>
    <w:r>
      <w:rPr>
        <w:color w:val="6B6F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24A3D" w14:textId="77777777" w:rsidR="007D6E39" w:rsidRDefault="007D6E39">
      <w:r>
        <w:separator/>
      </w:r>
    </w:p>
  </w:footnote>
  <w:footnote w:type="continuationSeparator" w:id="0">
    <w:p w14:paraId="68B81CFA" w14:textId="77777777" w:rsidR="007D6E39" w:rsidRDefault="007D6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316C" w14:textId="728ACDD3" w:rsidR="00617EAD" w:rsidRDefault="00617EAD">
    <w:pPr>
      <w:pBdr>
        <w:bottom w:val="single" w:sz="4" w:space="4" w:color="D9DCE1"/>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AAA"/>
    <w:multiLevelType w:val="hybridMultilevel"/>
    <w:tmpl w:val="AFF4A012"/>
    <w:lvl w:ilvl="0" w:tplc="66F6613C">
      <w:start w:val="1"/>
      <w:numFmt w:val="bullet"/>
      <w:lvlText w:val="●"/>
      <w:lvlJc w:val="left"/>
      <w:pPr>
        <w:ind w:left="720" w:hanging="360"/>
      </w:pPr>
    </w:lvl>
    <w:lvl w:ilvl="1" w:tplc="9FD67C9E">
      <w:start w:val="1"/>
      <w:numFmt w:val="bullet"/>
      <w:lvlText w:val="○"/>
      <w:lvlJc w:val="left"/>
      <w:pPr>
        <w:ind w:left="1440" w:hanging="360"/>
      </w:pPr>
    </w:lvl>
    <w:lvl w:ilvl="2" w:tplc="5ACA6948">
      <w:start w:val="1"/>
      <w:numFmt w:val="bullet"/>
      <w:lvlText w:val="■"/>
      <w:lvlJc w:val="left"/>
      <w:pPr>
        <w:ind w:left="2160" w:hanging="360"/>
      </w:pPr>
    </w:lvl>
    <w:lvl w:ilvl="3" w:tplc="75BAE606">
      <w:start w:val="1"/>
      <w:numFmt w:val="bullet"/>
      <w:lvlText w:val="●"/>
      <w:lvlJc w:val="left"/>
      <w:pPr>
        <w:ind w:left="2880" w:hanging="360"/>
      </w:pPr>
    </w:lvl>
    <w:lvl w:ilvl="4" w:tplc="2CC603D8">
      <w:start w:val="1"/>
      <w:numFmt w:val="bullet"/>
      <w:lvlText w:val="○"/>
      <w:lvlJc w:val="left"/>
      <w:pPr>
        <w:ind w:left="3600" w:hanging="360"/>
      </w:pPr>
    </w:lvl>
    <w:lvl w:ilvl="5" w:tplc="EBCE01E6">
      <w:start w:val="1"/>
      <w:numFmt w:val="bullet"/>
      <w:lvlText w:val="■"/>
      <w:lvlJc w:val="left"/>
      <w:pPr>
        <w:ind w:left="4320" w:hanging="360"/>
      </w:pPr>
    </w:lvl>
    <w:lvl w:ilvl="6" w:tplc="2A2E6AD2">
      <w:start w:val="1"/>
      <w:numFmt w:val="bullet"/>
      <w:lvlText w:val="●"/>
      <w:lvlJc w:val="left"/>
      <w:pPr>
        <w:ind w:left="5040" w:hanging="360"/>
      </w:pPr>
    </w:lvl>
    <w:lvl w:ilvl="7" w:tplc="9C4C7740">
      <w:start w:val="1"/>
      <w:numFmt w:val="bullet"/>
      <w:lvlText w:val="●"/>
      <w:lvlJc w:val="left"/>
      <w:pPr>
        <w:ind w:left="5760" w:hanging="360"/>
      </w:pPr>
    </w:lvl>
    <w:lvl w:ilvl="8" w:tplc="377017E2">
      <w:start w:val="1"/>
      <w:numFmt w:val="bullet"/>
      <w:lvlText w:val="●"/>
      <w:lvlJc w:val="left"/>
      <w:pPr>
        <w:ind w:left="6480" w:hanging="360"/>
      </w:pPr>
    </w:lvl>
  </w:abstractNum>
  <w:abstractNum w:abstractNumId="1" w15:restartNumberingAfterBreak="0">
    <w:nsid w:val="2DED08AC"/>
    <w:multiLevelType w:val="hybridMultilevel"/>
    <w:tmpl w:val="C4B26FDA"/>
    <w:lvl w:ilvl="0" w:tplc="7478A3EA">
      <w:start w:val="1"/>
      <w:numFmt w:val="bullet"/>
      <w:lvlText w:val="•"/>
      <w:lvlJc w:val="left"/>
      <w:pPr>
        <w:ind w:left="560" w:hanging="280"/>
      </w:pPr>
      <w:rPr>
        <w:color w:val="0E7C7B"/>
      </w:rPr>
    </w:lvl>
    <w:lvl w:ilvl="1" w:tplc="CCF2F9AE">
      <w:numFmt w:val="decimal"/>
      <w:lvlText w:val=""/>
      <w:lvlJc w:val="left"/>
    </w:lvl>
    <w:lvl w:ilvl="2" w:tplc="39365ED8">
      <w:numFmt w:val="decimal"/>
      <w:lvlText w:val=""/>
      <w:lvlJc w:val="left"/>
    </w:lvl>
    <w:lvl w:ilvl="3" w:tplc="004248C0">
      <w:numFmt w:val="decimal"/>
      <w:lvlText w:val=""/>
      <w:lvlJc w:val="left"/>
    </w:lvl>
    <w:lvl w:ilvl="4" w:tplc="61F6B988">
      <w:numFmt w:val="decimal"/>
      <w:lvlText w:val=""/>
      <w:lvlJc w:val="left"/>
    </w:lvl>
    <w:lvl w:ilvl="5" w:tplc="40F2F808">
      <w:numFmt w:val="decimal"/>
      <w:lvlText w:val=""/>
      <w:lvlJc w:val="left"/>
    </w:lvl>
    <w:lvl w:ilvl="6" w:tplc="FC6688AE">
      <w:numFmt w:val="decimal"/>
      <w:lvlText w:val=""/>
      <w:lvlJc w:val="left"/>
    </w:lvl>
    <w:lvl w:ilvl="7" w:tplc="EE3AB764">
      <w:numFmt w:val="decimal"/>
      <w:lvlText w:val=""/>
      <w:lvlJc w:val="left"/>
    </w:lvl>
    <w:lvl w:ilvl="8" w:tplc="F9F8595A">
      <w:numFmt w:val="decimal"/>
      <w:lvlText w:val=""/>
      <w:lvlJc w:val="left"/>
    </w:lvl>
  </w:abstractNum>
  <w:num w:numId="1" w16cid:durableId="1613124041">
    <w:abstractNumId w:val="0"/>
    <w:lvlOverride w:ilvl="0">
      <w:startOverride w:val="1"/>
    </w:lvlOverride>
  </w:num>
  <w:num w:numId="2" w16cid:durableId="116535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EAD"/>
    <w:rsid w:val="00617EAD"/>
    <w:rsid w:val="00630660"/>
    <w:rsid w:val="007D6E39"/>
    <w:rsid w:val="00AC70BA"/>
    <w:rsid w:val="00D73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2B50"/>
  <w15:docId w15:val="{2A85DCE9-B23C-45CF-B3B6-43D18EE2B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9962A"/>
      </w:pBdr>
      <w:spacing w:before="200" w:after="140"/>
      <w:outlineLvl w:val="0"/>
    </w:pPr>
    <w:rPr>
      <w:b/>
      <w:bCs/>
      <w:color w:val="1B2A4A"/>
      <w:sz w:val="34"/>
      <w:szCs w:val="34"/>
    </w:rPr>
  </w:style>
  <w:style w:type="paragraph" w:styleId="Heading2">
    <w:name w:val="heading 2"/>
    <w:uiPriority w:val="9"/>
    <w:unhideWhenUsed/>
    <w:qFormat/>
    <w:pPr>
      <w:spacing w:before="220" w:after="110"/>
      <w:outlineLvl w:val="1"/>
    </w:pPr>
    <w:rPr>
      <w:b/>
      <w:bCs/>
      <w:color w:val="0E7C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0660"/>
    <w:pPr>
      <w:tabs>
        <w:tab w:val="center" w:pos="4513"/>
        <w:tab w:val="right" w:pos="9026"/>
      </w:tabs>
    </w:pPr>
  </w:style>
  <w:style w:type="character" w:customStyle="1" w:styleId="HeaderChar">
    <w:name w:val="Header Char"/>
    <w:basedOn w:val="DefaultParagraphFont"/>
    <w:link w:val="Header"/>
    <w:uiPriority w:val="99"/>
    <w:rsid w:val="00630660"/>
  </w:style>
  <w:style w:type="paragraph" w:styleId="Footer">
    <w:name w:val="footer"/>
    <w:basedOn w:val="Normal"/>
    <w:link w:val="FooterChar"/>
    <w:uiPriority w:val="99"/>
    <w:unhideWhenUsed/>
    <w:rsid w:val="00630660"/>
    <w:pPr>
      <w:tabs>
        <w:tab w:val="center" w:pos="4513"/>
        <w:tab w:val="right" w:pos="9026"/>
      </w:tabs>
    </w:pPr>
  </w:style>
  <w:style w:type="character" w:customStyle="1" w:styleId="FooterChar">
    <w:name w:val="Footer Char"/>
    <w:basedOn w:val="DefaultParagraphFont"/>
    <w:link w:val="Footer"/>
    <w:uiPriority w:val="99"/>
    <w:rsid w:val="00630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Reenu Kaswan</cp:lastModifiedBy>
  <cp:revision>2</cp:revision>
  <dcterms:created xsi:type="dcterms:W3CDTF">2026-06-24T08:27:00Z</dcterms:created>
  <dcterms:modified xsi:type="dcterms:W3CDTF">2026-06-24T08:27:00Z</dcterms:modified>
</cp:coreProperties>
</file>