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Need Being Addressed: </w:t>
      </w:r>
      <w:r w:rsidDel="00000000" w:rsidR="00000000" w:rsidRPr="00000000">
        <w:rPr>
          <w:rtl w:val="0"/>
        </w:rPr>
        <w:t xml:space="preserve"> Parse various types of data files (.txt, .csv, .dat, .tlab) uploaded to the website in order to automatically populate the database.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Design Pattern Solution:  </w:t>
      </w:r>
      <w:r w:rsidDel="00000000" w:rsidR="00000000" w:rsidRPr="00000000">
        <w:rPr>
          <w:rtl w:val="0"/>
        </w:rPr>
        <w:t xml:space="preserve">Factory Design Pattern from Creational Patterns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In order to process various types of file formats it might be beneficial to create a factory design pattern which takes a single argument (fileExt) and returns a parser for that particular format.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Need Being Addressed: </w:t>
      </w:r>
      <w:r w:rsidDel="00000000" w:rsidR="00000000" w:rsidRPr="00000000">
        <w:rPr>
          <w:rtl w:val="0"/>
        </w:rPr>
        <w:t xml:space="preserve">Create an interface where the competitor does not need to see the platform-dependent details of the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Design Pattern Solution: </w:t>
      </w:r>
      <w:r w:rsidDel="00000000" w:rsidR="00000000" w:rsidRPr="00000000">
        <w:rPr>
          <w:rtl w:val="0"/>
        </w:rPr>
        <w:t xml:space="preserve">Bridge Design Pattern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For the competitor to be able to easily access the screens that they want to see, separating the 2 different interfaces (judge and competitor), would be beneficial to both parties as they do not need to see what they don’t need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Need Being Addressed: </w:t>
      </w:r>
      <w:r w:rsidDel="00000000" w:rsidR="00000000" w:rsidRPr="00000000">
        <w:rPr>
          <w:rtl w:val="0"/>
        </w:rPr>
        <w:t xml:space="preserve">Easily move data from the application to the standings screen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Design Pattern Solution: </w:t>
      </w:r>
      <w:r w:rsidDel="00000000" w:rsidR="00000000" w:rsidRPr="00000000">
        <w:rPr>
          <w:rtl w:val="0"/>
        </w:rPr>
        <w:t xml:space="preserve">Observer Design Pattern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739515"/>
            <wp:effectExtent b="0" l="0" r="0" t="0"/>
            <wp:docPr descr="Pattern2UML.png" id="1" name="image2.png"/>
            <a:graphic>
              <a:graphicData uri="http://schemas.openxmlformats.org/drawingml/2006/picture">
                <pic:pic>
                  <pic:nvPicPr>
                    <pic:cNvPr descr="Pattern2UML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Allow for live updating of standings screen and allows for better flexibility with a one-to-many dependency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