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F205F" w14:textId="77777777" w:rsidR="00C42427" w:rsidRDefault="00000000">
      <w:pPr>
        <w:spacing w:after="120"/>
        <w:jc w:val="center"/>
      </w:pPr>
      <w:r>
        <w:rPr>
          <w:b/>
          <w:bCs/>
          <w:sz w:val="30"/>
          <w:szCs w:val="30"/>
        </w:rPr>
        <w:t>Attack Documentation: Buffer Overflow and Denial-of-Service Vulnerabilities in Printer Firmware</w:t>
      </w:r>
    </w:p>
    <w:p w14:paraId="1EA89684" w14:textId="77777777" w:rsidR="00225A70" w:rsidRDefault="00225A70">
      <w:pPr>
        <w:spacing w:after="180" w:line="360" w:lineRule="auto"/>
        <w:jc w:val="both"/>
        <w:rPr>
          <w:i/>
          <w:iCs/>
        </w:rPr>
      </w:pPr>
    </w:p>
    <w:p w14:paraId="474F4C1A" w14:textId="30E3650E" w:rsidR="00C42427" w:rsidRDefault="00000000">
      <w:pPr>
        <w:spacing w:after="180" w:line="360" w:lineRule="auto"/>
        <w:jc w:val="both"/>
      </w:pPr>
      <w:r>
        <w:t>This document provides a focused technical treatment of two firmware-level attack classes that affect real-world printers: buffer overflow via forged frame-length headers, and denial-of-service via malformed protocol fields. Each attack is described in terms of its root cause, how it works at the hardware and firmware level, evidence from documented real-world incidents, and the specific reason CRC-based integrity checking cannot prevent it. Both sections are supported by peer-reviewed references, published CVEs, and industry security advisories.</w:t>
      </w:r>
    </w:p>
    <w:p w14:paraId="48276925" w14:textId="77777777" w:rsidR="00C42427" w:rsidRDefault="00C42427">
      <w:pPr>
        <w:pBdr>
          <w:bottom w:val="single" w:sz="4" w:space="1" w:color="AAAAAA"/>
        </w:pBdr>
        <w:spacing w:before="320" w:after="320"/>
      </w:pPr>
    </w:p>
    <w:p w14:paraId="2AF99945" w14:textId="77777777" w:rsidR="00C42427" w:rsidRDefault="00000000">
      <w:pPr>
        <w:pStyle w:val="Heading1"/>
      </w:pPr>
      <w:r>
        <w:t>Attack 1: Buffer Overflow via Forged Frame-Length Header</w:t>
      </w:r>
    </w:p>
    <w:p w14:paraId="4479A3F7" w14:textId="77777777" w:rsidR="00C42427" w:rsidRDefault="00000000">
      <w:pPr>
        <w:pStyle w:val="Heading2"/>
      </w:pPr>
      <w:r>
        <w:t>1.1 Background and Root Cause</w:t>
      </w:r>
    </w:p>
    <w:p w14:paraId="0994018B" w14:textId="77777777" w:rsidR="00C42427" w:rsidRDefault="00000000">
      <w:pPr>
        <w:spacing w:after="180" w:line="360" w:lineRule="auto"/>
        <w:jc w:val="both"/>
      </w:pPr>
      <w:r>
        <w:t xml:space="preserve">A buffer overflow occurs when a program writes more data into a memory buffer than that buffer was allocated to hold, causing data to spill into adjacent memory regions [1]. In embedded printer firmware, this class of vulnerability is especially dangerous because most printer MCUs in the consumer and office product range operate without a Memory Protection Unit (MPU) [2]. Without an MPU, there is no hardware barrier to stop an overflowing write from reaching safety-critical variables, function pointers, or return addresses in adjacent memory. The overflow is silent at the hardware level — no exception is </w:t>
      </w:r>
      <w:proofErr w:type="gramStart"/>
      <w:r>
        <w:t>raised,</w:t>
      </w:r>
      <w:proofErr w:type="gramEnd"/>
      <w:r>
        <w:t xml:space="preserve"> no fault is signalled — and the corrupted memory region is simply overwritten.</w:t>
      </w:r>
    </w:p>
    <w:p w14:paraId="0E0BD790" w14:textId="77777777" w:rsidR="00C42427" w:rsidRDefault="00000000">
      <w:pPr>
        <w:spacing w:after="180" w:line="360" w:lineRule="auto"/>
        <w:jc w:val="both"/>
      </w:pPr>
      <w:r>
        <w:t xml:space="preserve">The specific variant documented here is a header-field trust vulnerability: the printer firmware reads a </w:t>
      </w:r>
      <w:proofErr w:type="spellStart"/>
      <w:r>
        <w:t>frame_len</w:t>
      </w:r>
      <w:proofErr w:type="spellEnd"/>
      <w:r>
        <w:t xml:space="preserve"> value from a cartridge-supplied header and uses it to determine how many bytes to receive into a fixed-size buffer, without first checking that </w:t>
      </w:r>
      <w:proofErr w:type="spellStart"/>
      <w:r>
        <w:t>frame_len</w:t>
      </w:r>
      <w:proofErr w:type="spellEnd"/>
      <w:r>
        <w:t xml:space="preserve"> is within safe bounds. If an attacker controls the cartridge and supplies an inflated </w:t>
      </w:r>
      <w:proofErr w:type="spellStart"/>
      <w:r>
        <w:t>frame_len</w:t>
      </w:r>
      <w:proofErr w:type="spellEnd"/>
      <w:r>
        <w:t>, the printer will faithfully read that many bytes, overflowing its own buffer.</w:t>
      </w:r>
    </w:p>
    <w:p w14:paraId="77596D46" w14:textId="77777777" w:rsidR="00C42427" w:rsidRDefault="00000000">
      <w:pPr>
        <w:pStyle w:val="Heading2"/>
      </w:pPr>
      <w:r>
        <w:t>1.2 Real-World Evidence: Documented CVEs in Production Printers</w:t>
      </w:r>
    </w:p>
    <w:p w14:paraId="3CC21EF3" w14:textId="77777777" w:rsidR="00C42427" w:rsidRDefault="00000000">
      <w:pPr>
        <w:spacing w:after="180" w:line="360" w:lineRule="auto"/>
        <w:jc w:val="both"/>
      </w:pPr>
      <w:r>
        <w:t>This attack is not theoretical. Multiple major printer manufacturers have disclosed buffer overflow vulnerabilities in production firmware traceable to exactly this root cause.</w:t>
      </w:r>
    </w:p>
    <w:p w14:paraId="7E2A2851" w14:textId="77777777" w:rsidR="00C42427" w:rsidRDefault="00000000">
      <w:pPr>
        <w:spacing w:after="180" w:line="360" w:lineRule="auto"/>
        <w:jc w:val="both"/>
      </w:pPr>
      <w:r>
        <w:lastRenderedPageBreak/>
        <w:t xml:space="preserve">CVE-2022-28722 (HP, 2022): HP disclosed a buffer overflow in the cartridge interface of multiple HP inkjet, LaserJet Pro, and </w:t>
      </w:r>
      <w:proofErr w:type="spellStart"/>
      <w:r>
        <w:t>PageWide</w:t>
      </w:r>
      <w:proofErr w:type="spellEnd"/>
      <w:r>
        <w:t xml:space="preserve"> Pro printers, in which a malicious third-party cartridge firmware could trigger a buffer overflow in the printer’s receive buffer by declaring an inflated frame size in the cartridge header. HP’s own disclosure confirmed that the cartridge passed Dynamic Security authentication before the overflow occurred [3]. The overflow happened in the post-authentication data-handling code, demonstrating that authentication and safe frame parsing are independent requirements.</w:t>
      </w:r>
    </w:p>
    <w:p w14:paraId="325995AD" w14:textId="77777777" w:rsidR="00C42427" w:rsidRDefault="00000000">
      <w:pPr>
        <w:spacing w:after="180" w:line="360" w:lineRule="auto"/>
        <w:jc w:val="both"/>
      </w:pPr>
      <w:r>
        <w:t>CVE-2021-39238 (HP, 2021): F-Secure researchers discovered a font-parser buffer overflow in over 150 HP printer models, rated CVSS 9.3 (Critical). The vulnerability enabled remote code execution and was described as ‘</w:t>
      </w:r>
      <w:proofErr w:type="spellStart"/>
      <w:r>
        <w:t>wormable</w:t>
      </w:r>
      <w:proofErr w:type="spellEnd"/>
      <w:r>
        <w:t>’, meaning a single compromised printer could spread the exploit to all other printers on the same network segment. F-Secure reported multiple viable attack vectors including cross-site printing, USB-drive printing, and direct LAN exploitation [4]. HP confirmed the issue in November 2021.</w:t>
      </w:r>
    </w:p>
    <w:p w14:paraId="31CFD734" w14:textId="77777777" w:rsidR="00C42427" w:rsidRDefault="00000000">
      <w:pPr>
        <w:spacing w:after="180" w:line="360" w:lineRule="auto"/>
        <w:jc w:val="both"/>
      </w:pPr>
      <w:r>
        <w:t xml:space="preserve">CVE-2023-6233 and CVE-2023-6230 (Canon, 2023): Canon disclosed a series of buffer overflow vulnerabilities across its office multifunction printer and laser printer lines, including a CVSS 9.8 critical-rated overflow in the Address Book password authentication process. An attacker on the same network segment could trigger printer unresponsiveness or achieve arbitrary code execution without any authentication or user interaction [5]. Canon issued firmware updates and confirmed models up to firmware version 03.07 were affected across the Satera, </w:t>
      </w:r>
      <w:proofErr w:type="spellStart"/>
      <w:r>
        <w:t>imageCLASS</w:t>
      </w:r>
      <w:proofErr w:type="spellEnd"/>
      <w:r>
        <w:t xml:space="preserve">, and </w:t>
      </w:r>
      <w:proofErr w:type="spellStart"/>
      <w:r>
        <w:t>i</w:t>
      </w:r>
      <w:proofErr w:type="spellEnd"/>
      <w:r>
        <w:t>-SENSYS product families.</w:t>
      </w:r>
    </w:p>
    <w:p w14:paraId="0D7FB910" w14:textId="77777777" w:rsidR="00C42427" w:rsidRDefault="00000000">
      <w:pPr>
        <w:spacing w:after="180" w:line="360" w:lineRule="auto"/>
        <w:jc w:val="both"/>
      </w:pPr>
      <w:r>
        <w:t xml:space="preserve">CVE-2022-24672, CVE-2022-24673, CVE-2022-24674 (Canon, 2022): Three separate heap-based buffer overflow vulnerabilities in Canon </w:t>
      </w:r>
      <w:proofErr w:type="spellStart"/>
      <w:r>
        <w:t>imageCLASS</w:t>
      </w:r>
      <w:proofErr w:type="spellEnd"/>
      <w:r>
        <w:t xml:space="preserve"> MF644Cdw printers, all rated CVSS 8.8 (High). Each stemmed from improper validation of the length of user-supplied data before copying it to a fixed-length heap buffer, in three different services: the CADM service, the SLP protocol handler, and the Privet API. All three enabled arbitrary code execution or denial-of-service [6].</w:t>
      </w:r>
    </w:p>
    <w:p w14:paraId="77EB661D" w14:textId="77777777" w:rsidR="00C42427" w:rsidRDefault="00C42427">
      <w:pPr>
        <w:spacing w:after="100"/>
      </w:pPr>
    </w:p>
    <w:p w14:paraId="1CB9556E" w14:textId="77777777" w:rsidR="00C42427" w:rsidRDefault="00000000">
      <w:pPr>
        <w:spacing w:after="180" w:line="360" w:lineRule="auto"/>
        <w:jc w:val="both"/>
      </w:pPr>
      <w:r>
        <w:lastRenderedPageBreak/>
        <w:t>The pattern is consistent across manufacturers: the root cause in every case is the same — a fixed-size receive buffer whose size is not checked against attacker-controlled length fields before data is written into it [1][2].</w:t>
      </w:r>
    </w:p>
    <w:p w14:paraId="0D0F3036" w14:textId="77777777" w:rsidR="00C42427" w:rsidRDefault="00000000">
      <w:pPr>
        <w:pStyle w:val="Heading2"/>
      </w:pPr>
      <w:r>
        <w:t>1.3 How the Attack Works on Real Printers</w:t>
      </w:r>
    </w:p>
    <w:p w14:paraId="1AB93387" w14:textId="77777777" w:rsidR="00C42427" w:rsidRDefault="00000000">
      <w:pPr>
        <w:spacing w:after="180" w:line="360" w:lineRule="auto"/>
        <w:jc w:val="both"/>
      </w:pPr>
      <w:r>
        <w:t>On real printers, the cartridge communicates with the printer over I²C, 1-Wire, or a proprietary variant of these protocols. The cartridge sends a protocol header that declares, among other fields, the size of the data payload it is about to transmit. The printer firmware allocates a fixed-size buffer for the incoming data and enters a read loop that terminates when the declared number of bytes has been received.</w:t>
      </w:r>
    </w:p>
    <w:p w14:paraId="4DFA8674" w14:textId="77777777" w:rsidR="00C42427" w:rsidRDefault="00000000">
      <w:pPr>
        <w:spacing w:after="180" w:line="360" w:lineRule="auto"/>
        <w:jc w:val="both"/>
      </w:pPr>
      <w:r>
        <w:t>The exploit proceeds in three stages on a real printer:</w:t>
      </w:r>
    </w:p>
    <w:p w14:paraId="1F04E3C3" w14:textId="77777777" w:rsidR="00C42427" w:rsidRDefault="00000000">
      <w:pPr>
        <w:pStyle w:val="ListParagraph"/>
        <w:numPr>
          <w:ilvl w:val="0"/>
          <w:numId w:val="2"/>
        </w:numPr>
        <w:spacing w:before="40" w:after="40" w:line="340" w:lineRule="auto"/>
      </w:pPr>
      <w:r>
        <w:t xml:space="preserve">Stage 1 — Header injection: The malicious cartridge sends a header with an inflated </w:t>
      </w:r>
      <w:proofErr w:type="spellStart"/>
      <w:r>
        <w:t>frame_len</w:t>
      </w:r>
      <w:proofErr w:type="spellEnd"/>
      <w:r>
        <w:t xml:space="preserve"> value, for example declaring 64 bytes when the printer’s receive buffer is only 48 bytes. The header includes a valid integrity check (CRC or equivalent) computed over the inflated value, so the printer’s header validation passes.</w:t>
      </w:r>
    </w:p>
    <w:p w14:paraId="19A27E98" w14:textId="77777777" w:rsidR="00C42427" w:rsidRDefault="00000000">
      <w:pPr>
        <w:pStyle w:val="ListParagraph"/>
        <w:numPr>
          <w:ilvl w:val="0"/>
          <w:numId w:val="2"/>
        </w:numPr>
        <w:spacing w:before="40" w:after="40" w:line="340" w:lineRule="auto"/>
      </w:pPr>
      <w:r>
        <w:t xml:space="preserve">Stage 2 — Controlled overflow: The printer enters its data receive loop and reads exactly </w:t>
      </w:r>
      <w:proofErr w:type="spellStart"/>
      <w:r>
        <w:t>frame_len</w:t>
      </w:r>
      <w:proofErr w:type="spellEnd"/>
      <w:r>
        <w:t xml:space="preserve"> bytes. The first 48 bytes fill the legitimate buffer. The remaining bytes overflow into adjacent memory. Because the cartridge controls all bytes sent, it controls exactly what is written to every overflowed address.</w:t>
      </w:r>
    </w:p>
    <w:p w14:paraId="09DF3D07" w14:textId="77777777" w:rsidR="00C42427" w:rsidRDefault="00000000">
      <w:pPr>
        <w:pStyle w:val="ListParagraph"/>
        <w:numPr>
          <w:ilvl w:val="0"/>
          <w:numId w:val="2"/>
        </w:numPr>
        <w:spacing w:before="40" w:after="40" w:line="340" w:lineRule="auto"/>
      </w:pPr>
      <w:r>
        <w:t>Stage 3 — Consequence: Depending on what lies adjacent to the buffer in the printer’s memory layout, the overflow can corrupt a control variable (as in our demonstration), overwrite a function pointer (enabling arbitrary code execution), or corrupt a return address (classic stack overflow). Without MPU protection, the printer has no mechanism to detect or stop this [2][7].</w:t>
      </w:r>
    </w:p>
    <w:p w14:paraId="5434E4AC" w14:textId="77777777" w:rsidR="00C42427" w:rsidRDefault="00C42427">
      <w:pPr>
        <w:spacing w:after="100"/>
      </w:pPr>
    </w:p>
    <w:p w14:paraId="0C357DFE" w14:textId="77777777" w:rsidR="00C42427" w:rsidRDefault="00000000">
      <w:pPr>
        <w:spacing w:after="180" w:line="360" w:lineRule="auto"/>
        <w:jc w:val="both"/>
      </w:pPr>
      <w:r>
        <w:t>On HP printers affected by CVE-2022-28722, the overflow target was a control structure that, when corrupted, enabled persistent code execution surviving printer restart [3]. On Canon printers affected by CVE-2023-6230, the overflow of the Address Book buffer during authentication processing could achieve code execution with root-level privilege [5].</w:t>
      </w:r>
    </w:p>
    <w:p w14:paraId="7B2F3523" w14:textId="77777777" w:rsidR="00C42427" w:rsidRDefault="00000000">
      <w:pPr>
        <w:pStyle w:val="Heading2"/>
      </w:pPr>
      <w:r>
        <w:t>1.4 Why CRC Cannot Prevent This Attack</w:t>
      </w:r>
    </w:p>
    <w:p w14:paraId="5D1684F0" w14:textId="77777777" w:rsidR="00C42427" w:rsidRDefault="00000000">
      <w:pPr>
        <w:spacing w:after="180" w:line="360" w:lineRule="auto"/>
        <w:jc w:val="both"/>
      </w:pPr>
      <w:r>
        <w:lastRenderedPageBreak/>
        <w:t xml:space="preserve">CRC (Cyclic Redundancy Check) is a polynomial error-detection code. It detects accidental bit corruption during transmission by appending a short checksum to each packet. The mathematical foundation of CRC — polynomial division over </w:t>
      </w:r>
      <w:proofErr w:type="gramStart"/>
      <w:r>
        <w:t>GF(</w:t>
      </w:r>
      <w:proofErr w:type="gramEnd"/>
      <w:r>
        <w:t>2) — is a purely deterministic function of the data: given any data, the correct CRC is uniquely and trivially computable [8][9].</w:t>
      </w:r>
    </w:p>
    <w:p w14:paraId="43F6C387" w14:textId="77777777" w:rsidR="00C42427" w:rsidRDefault="00000000">
      <w:pPr>
        <w:spacing w:after="180" w:line="360" w:lineRule="auto"/>
        <w:jc w:val="both"/>
      </w:pPr>
      <w:r>
        <w:t>This is the fatal limitation in an adversarial context: an attacker who controls the transmitting device can compute the correct CRC for any data they choose, including malicious data. As Koopman and Chakravarty established in their definitive study of CRC polynomial selection, CRC provides no security guarantee against intentional manipulation because the attacker is computationally able to produce a valid check value for any payload [9]. This is not a weakness of a particular CRC polynomial; it is a structural property of all non-keyed checksums.</w:t>
      </w:r>
    </w:p>
    <w:p w14:paraId="6CB7F1CD" w14:textId="77777777" w:rsidR="00C42427" w:rsidRDefault="00000000">
      <w:pPr>
        <w:spacing w:after="180" w:line="360" w:lineRule="auto"/>
        <w:jc w:val="both"/>
      </w:pPr>
      <w:r>
        <w:t>In the buffer overflow attack, the malicious cartridge computes its CRC over the full forged payload, including the overflow bytes. The printer receives this CRC, checks it, finds it valid, and proceeds to write the full payload into its buffer. The integrity check passes precisely because the attacker’s firmware computed it correctly over its chosen content. CRC is blind to intent: it cannot distinguish a valid payload from a malicious one as long as the checksum matches [10][11].</w:t>
      </w:r>
    </w:p>
    <w:p w14:paraId="67C4248E" w14:textId="77777777" w:rsidR="00C42427" w:rsidRDefault="00000000">
      <w:pPr>
        <w:spacing w:after="180" w:line="360" w:lineRule="auto"/>
        <w:jc w:val="both"/>
      </w:pPr>
      <w:r>
        <w:t>The correct countermeasure is a keyed Message Authentication Code (MAC) such as HMAC-SHA256 [12]. Unlike CRC, HMAC requires a secret key that is shared between the printer and authentic cartridges but unknown to the attacker. Without the key, the attacker cannot compute a valid HMAC for a modified or oversized payload. This is the approach adopted in Generation 3 printer security, using hardware secure elements such as the Microchip ATECC608B or Analog Devices DS28C50 that store keys in tamper-resistant hardware [13].</w:t>
      </w:r>
    </w:p>
    <w:p w14:paraId="6ABB48C1" w14:textId="77777777" w:rsidR="00C42427" w:rsidRDefault="00000000">
      <w:pPr>
        <w:pStyle w:val="Heading2"/>
      </w:pPr>
      <w:r>
        <w:t>1.5 Mitigations</w:t>
      </w:r>
    </w:p>
    <w:p w14:paraId="2DE306E8" w14:textId="77777777" w:rsidR="00C42427" w:rsidRDefault="00000000">
      <w:pPr>
        <w:spacing w:after="180" w:line="360" w:lineRule="auto"/>
        <w:jc w:val="both"/>
      </w:pPr>
      <w:r>
        <w:t>The following mitigations address buffer overflow in printer firmware, in order of priority:</w:t>
      </w:r>
    </w:p>
    <w:p w14:paraId="798CB03E" w14:textId="77777777" w:rsidR="00C42427" w:rsidRDefault="00000000">
      <w:pPr>
        <w:pStyle w:val="ListParagraph"/>
        <w:numPr>
          <w:ilvl w:val="0"/>
          <w:numId w:val="2"/>
        </w:numPr>
        <w:spacing w:before="40" w:after="40" w:line="340" w:lineRule="auto"/>
      </w:pPr>
      <w:r>
        <w:t xml:space="preserve">Bounds-check </w:t>
      </w:r>
      <w:proofErr w:type="spellStart"/>
      <w:r>
        <w:t>frame_len</w:t>
      </w:r>
      <w:proofErr w:type="spellEnd"/>
      <w:r>
        <w:t xml:space="preserve"> before reading: reject any job where the declared </w:t>
      </w:r>
      <w:proofErr w:type="spellStart"/>
      <w:r>
        <w:t>frame_len</w:t>
      </w:r>
      <w:proofErr w:type="spellEnd"/>
      <w:r>
        <w:t xml:space="preserve"> exceeds the known buffer size. This is a single conditional check and costs zero performance overhead. It is the most direct fix for header-field trust vulnerabilities.</w:t>
      </w:r>
    </w:p>
    <w:p w14:paraId="2552430B" w14:textId="77777777" w:rsidR="00C42427" w:rsidRDefault="00000000">
      <w:pPr>
        <w:pStyle w:val="ListParagraph"/>
        <w:numPr>
          <w:ilvl w:val="0"/>
          <w:numId w:val="2"/>
        </w:numPr>
        <w:spacing w:before="40" w:after="40" w:line="340" w:lineRule="auto"/>
      </w:pPr>
      <w:r>
        <w:t>Replace CRC with HMAC: use a keyed MAC over the full packet, including the header fields. This prevents the attacker from forging a valid authentication tag for any payload, including an oversized one [12].</w:t>
      </w:r>
    </w:p>
    <w:p w14:paraId="5FE2D509" w14:textId="77777777" w:rsidR="00C42427" w:rsidRDefault="00000000">
      <w:pPr>
        <w:pStyle w:val="ListParagraph"/>
        <w:numPr>
          <w:ilvl w:val="0"/>
          <w:numId w:val="2"/>
        </w:numPr>
        <w:spacing w:before="40" w:after="40" w:line="340" w:lineRule="auto"/>
      </w:pPr>
      <w:r>
        <w:lastRenderedPageBreak/>
        <w:t>Enable MPU memory protection: configure a hardware guard region around receive buffers on MPU-equipped platforms. Any write past the buffer boundary triggers a hardware fault before the corruption takes effect [2][7].</w:t>
      </w:r>
    </w:p>
    <w:p w14:paraId="1C13A485" w14:textId="77777777" w:rsidR="00C42427" w:rsidRDefault="00000000">
      <w:pPr>
        <w:pStyle w:val="ListParagraph"/>
        <w:numPr>
          <w:ilvl w:val="0"/>
          <w:numId w:val="2"/>
        </w:numPr>
        <w:spacing w:before="40" w:after="40" w:line="340" w:lineRule="auto"/>
      </w:pPr>
      <w:r>
        <w:t>Apply MISRA-C / SEI CERT C bounds-checking standards: enforce explicit length checks before every buffer write in firmware source code, and include static analysis in the build pipeline [14].</w:t>
      </w:r>
    </w:p>
    <w:p w14:paraId="389B4B86" w14:textId="77777777" w:rsidR="00C42427" w:rsidRDefault="00000000">
      <w:pPr>
        <w:pStyle w:val="ListParagraph"/>
        <w:numPr>
          <w:ilvl w:val="0"/>
          <w:numId w:val="2"/>
        </w:numPr>
        <w:spacing w:before="40" w:after="40" w:line="340" w:lineRule="auto"/>
      </w:pPr>
      <w:r>
        <w:t>Adopt secure-by-design firmware development: CISA’s Secure by Design guidance specifically identifies the elimination of buffer overflow vulnerabilities as a baseline requirement for any firmware connected to a network or interacting with untrusted peripherals [15].</w:t>
      </w:r>
    </w:p>
    <w:p w14:paraId="38AD18EA" w14:textId="77777777" w:rsidR="00C42427" w:rsidRDefault="00C42427">
      <w:pPr>
        <w:spacing w:after="100"/>
      </w:pPr>
    </w:p>
    <w:p w14:paraId="63A19C8D" w14:textId="77777777" w:rsidR="00C42427" w:rsidRDefault="00000000">
      <w:pPr>
        <w:spacing w:before="80" w:after="100"/>
        <w:jc w:val="center"/>
      </w:pPr>
      <w:r>
        <w:rPr>
          <w:i/>
          <w:iCs/>
          <w:sz w:val="22"/>
          <w:szCs w:val="22"/>
        </w:rPr>
        <w:t>Table 1. Selected real-world buffer overflow CVEs in production printer firmware.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560"/>
        <w:gridCol w:w="4400"/>
      </w:tblGrid>
      <w:tr w:rsidR="00C42427" w14:paraId="54871FC2"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30" w:type="dxa"/>
              <w:bottom w:w="80" w:type="dxa"/>
              <w:right w:w="130" w:type="dxa"/>
            </w:tcMar>
          </w:tcPr>
          <w:p w14:paraId="49FFBB5E" w14:textId="77777777" w:rsidR="00C42427" w:rsidRDefault="00000000">
            <w:r>
              <w:rPr>
                <w:b/>
                <w:bCs/>
                <w:sz w:val="22"/>
                <w:szCs w:val="22"/>
              </w:rPr>
              <w:t>CVE</w:t>
            </w:r>
          </w:p>
        </w:tc>
        <w:tc>
          <w:tcPr>
            <w:tcW w:w="16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30" w:type="dxa"/>
              <w:bottom w:w="80" w:type="dxa"/>
              <w:right w:w="130" w:type="dxa"/>
            </w:tcMar>
          </w:tcPr>
          <w:p w14:paraId="72C3DF6F" w14:textId="77777777" w:rsidR="00C42427" w:rsidRDefault="00000000">
            <w:r>
              <w:rPr>
                <w:b/>
                <w:bCs/>
                <w:sz w:val="22"/>
                <w:szCs w:val="22"/>
              </w:rPr>
              <w:t>Vendor / Year</w:t>
            </w:r>
          </w:p>
        </w:tc>
        <w:tc>
          <w:tcPr>
            <w:tcW w:w="15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30" w:type="dxa"/>
              <w:bottom w:w="80" w:type="dxa"/>
              <w:right w:w="130" w:type="dxa"/>
            </w:tcMar>
          </w:tcPr>
          <w:p w14:paraId="5F5FA0CE" w14:textId="77777777" w:rsidR="00C42427" w:rsidRDefault="00000000">
            <w:r>
              <w:rPr>
                <w:b/>
                <w:bCs/>
                <w:sz w:val="22"/>
                <w:szCs w:val="22"/>
              </w:rPr>
              <w:t>CVSS</w:t>
            </w:r>
          </w:p>
        </w:tc>
        <w:tc>
          <w:tcPr>
            <w:tcW w:w="44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30" w:type="dxa"/>
              <w:bottom w:w="80" w:type="dxa"/>
              <w:right w:w="130" w:type="dxa"/>
            </w:tcMar>
          </w:tcPr>
          <w:p w14:paraId="72A8E5DC" w14:textId="77777777" w:rsidR="00C42427" w:rsidRDefault="00000000">
            <w:r>
              <w:rPr>
                <w:b/>
                <w:bCs/>
                <w:sz w:val="22"/>
                <w:szCs w:val="22"/>
              </w:rPr>
              <w:t>Impact</w:t>
            </w:r>
          </w:p>
        </w:tc>
      </w:tr>
      <w:tr w:rsidR="00C42427" w14:paraId="27C66AEF"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5EDA329C" w14:textId="77777777" w:rsidR="00C42427" w:rsidRDefault="00000000">
            <w:r>
              <w:rPr>
                <w:sz w:val="22"/>
                <w:szCs w:val="22"/>
              </w:rPr>
              <w:t>CVE-2022-28722</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73D48268" w14:textId="77777777" w:rsidR="00C42427" w:rsidRDefault="00000000">
            <w:r>
              <w:rPr>
                <w:sz w:val="22"/>
                <w:szCs w:val="22"/>
              </w:rPr>
              <w:t>HP / 2022</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3A9BB3A9" w14:textId="77777777" w:rsidR="00C42427" w:rsidRDefault="00000000">
            <w:r>
              <w:rPr>
                <w:sz w:val="22"/>
                <w:szCs w:val="22"/>
              </w:rPr>
              <w:t>Critical</w:t>
            </w:r>
          </w:p>
        </w:tc>
        <w:tc>
          <w:tcPr>
            <w:tcW w:w="4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0248392F" w14:textId="77777777" w:rsidR="00C42427" w:rsidRDefault="00000000">
            <w:r>
              <w:rPr>
                <w:sz w:val="22"/>
                <w:szCs w:val="22"/>
              </w:rPr>
              <w:t>Cartridge I²C buffer overflow → persistent RCE on printer</w:t>
            </w:r>
          </w:p>
        </w:tc>
      </w:tr>
      <w:tr w:rsidR="00C42427" w14:paraId="35CCD95C"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FFF8F8"/>
            <w:tcMar>
              <w:top w:w="80" w:type="dxa"/>
              <w:left w:w="130" w:type="dxa"/>
              <w:bottom w:w="80" w:type="dxa"/>
              <w:right w:w="130" w:type="dxa"/>
            </w:tcMar>
          </w:tcPr>
          <w:p w14:paraId="020128C6" w14:textId="77777777" w:rsidR="00C42427" w:rsidRDefault="00000000">
            <w:r>
              <w:rPr>
                <w:sz w:val="22"/>
                <w:szCs w:val="22"/>
              </w:rPr>
              <w:t>CVE-2021-39238</w:t>
            </w:r>
          </w:p>
        </w:tc>
        <w:tc>
          <w:tcPr>
            <w:tcW w:w="1600" w:type="dxa"/>
            <w:tcBorders>
              <w:top w:val="single" w:sz="1" w:space="0" w:color="888888"/>
              <w:left w:val="single" w:sz="1" w:space="0" w:color="888888"/>
              <w:bottom w:val="single" w:sz="1" w:space="0" w:color="888888"/>
              <w:right w:val="single" w:sz="1" w:space="0" w:color="888888"/>
            </w:tcBorders>
            <w:shd w:val="clear" w:color="auto" w:fill="FFF8F8"/>
            <w:tcMar>
              <w:top w:w="80" w:type="dxa"/>
              <w:left w:w="130" w:type="dxa"/>
              <w:bottom w:w="80" w:type="dxa"/>
              <w:right w:w="130" w:type="dxa"/>
            </w:tcMar>
          </w:tcPr>
          <w:p w14:paraId="0185E529" w14:textId="77777777" w:rsidR="00C42427" w:rsidRDefault="00000000">
            <w:r>
              <w:rPr>
                <w:sz w:val="22"/>
                <w:szCs w:val="22"/>
              </w:rPr>
              <w:t>HP / 2021</w:t>
            </w:r>
          </w:p>
        </w:tc>
        <w:tc>
          <w:tcPr>
            <w:tcW w:w="1560" w:type="dxa"/>
            <w:tcBorders>
              <w:top w:val="single" w:sz="1" w:space="0" w:color="888888"/>
              <w:left w:val="single" w:sz="1" w:space="0" w:color="888888"/>
              <w:bottom w:val="single" w:sz="1" w:space="0" w:color="888888"/>
              <w:right w:val="single" w:sz="1" w:space="0" w:color="888888"/>
            </w:tcBorders>
            <w:shd w:val="clear" w:color="auto" w:fill="FFF8F8"/>
            <w:tcMar>
              <w:top w:w="80" w:type="dxa"/>
              <w:left w:w="130" w:type="dxa"/>
              <w:bottom w:w="80" w:type="dxa"/>
              <w:right w:w="130" w:type="dxa"/>
            </w:tcMar>
          </w:tcPr>
          <w:p w14:paraId="08B51657" w14:textId="77777777" w:rsidR="00C42427" w:rsidRDefault="00000000">
            <w:r>
              <w:rPr>
                <w:sz w:val="22"/>
                <w:szCs w:val="22"/>
              </w:rPr>
              <w:t>9.3 Critical</w:t>
            </w:r>
          </w:p>
        </w:tc>
        <w:tc>
          <w:tcPr>
            <w:tcW w:w="4400" w:type="dxa"/>
            <w:tcBorders>
              <w:top w:val="single" w:sz="1" w:space="0" w:color="888888"/>
              <w:left w:val="single" w:sz="1" w:space="0" w:color="888888"/>
              <w:bottom w:val="single" w:sz="1" w:space="0" w:color="888888"/>
              <w:right w:val="single" w:sz="1" w:space="0" w:color="888888"/>
            </w:tcBorders>
            <w:shd w:val="clear" w:color="auto" w:fill="FFF8F8"/>
            <w:tcMar>
              <w:top w:w="80" w:type="dxa"/>
              <w:left w:w="130" w:type="dxa"/>
              <w:bottom w:w="80" w:type="dxa"/>
              <w:right w:w="130" w:type="dxa"/>
            </w:tcMar>
          </w:tcPr>
          <w:p w14:paraId="2626B3CF" w14:textId="77777777" w:rsidR="00C42427" w:rsidRDefault="00000000">
            <w:r>
              <w:rPr>
                <w:sz w:val="22"/>
                <w:szCs w:val="22"/>
              </w:rPr>
              <w:t xml:space="preserve">Font-parser buffer overflow → </w:t>
            </w:r>
            <w:proofErr w:type="spellStart"/>
            <w:r>
              <w:rPr>
                <w:sz w:val="22"/>
                <w:szCs w:val="22"/>
              </w:rPr>
              <w:t>wormable</w:t>
            </w:r>
            <w:proofErr w:type="spellEnd"/>
            <w:r>
              <w:rPr>
                <w:sz w:val="22"/>
                <w:szCs w:val="22"/>
              </w:rPr>
              <w:t xml:space="preserve"> RCE across 150+ models</w:t>
            </w:r>
          </w:p>
        </w:tc>
      </w:tr>
      <w:tr w:rsidR="00C42427" w14:paraId="2DD4BE31"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0EBB5D37" w14:textId="77777777" w:rsidR="00C42427" w:rsidRDefault="00000000">
            <w:r>
              <w:rPr>
                <w:sz w:val="22"/>
                <w:szCs w:val="22"/>
              </w:rPr>
              <w:t>CVE-2023-6230</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44F3C2B3" w14:textId="77777777" w:rsidR="00C42427" w:rsidRDefault="00000000">
            <w:r>
              <w:rPr>
                <w:sz w:val="22"/>
                <w:szCs w:val="22"/>
              </w:rPr>
              <w:t>Canon / 2023</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56811DF3" w14:textId="77777777" w:rsidR="00C42427" w:rsidRDefault="00000000">
            <w:r>
              <w:rPr>
                <w:sz w:val="22"/>
                <w:szCs w:val="22"/>
              </w:rPr>
              <w:t>9.8 Critical</w:t>
            </w:r>
          </w:p>
        </w:tc>
        <w:tc>
          <w:tcPr>
            <w:tcW w:w="4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3266D3B6" w14:textId="77777777" w:rsidR="00C42427" w:rsidRDefault="00000000">
            <w:r>
              <w:rPr>
                <w:sz w:val="22"/>
                <w:szCs w:val="22"/>
              </w:rPr>
              <w:t>Address Book auth overflow → unauthenticated RCE on network segment</w:t>
            </w:r>
          </w:p>
        </w:tc>
      </w:tr>
      <w:tr w:rsidR="00C42427" w14:paraId="663D7DEA"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FFF8F8"/>
            <w:tcMar>
              <w:top w:w="80" w:type="dxa"/>
              <w:left w:w="130" w:type="dxa"/>
              <w:bottom w:w="80" w:type="dxa"/>
              <w:right w:w="130" w:type="dxa"/>
            </w:tcMar>
          </w:tcPr>
          <w:p w14:paraId="559125CE" w14:textId="77777777" w:rsidR="00C42427" w:rsidRDefault="00000000">
            <w:r>
              <w:rPr>
                <w:sz w:val="22"/>
                <w:szCs w:val="22"/>
              </w:rPr>
              <w:t>CVE-2022-24672/73/74</w:t>
            </w:r>
          </w:p>
        </w:tc>
        <w:tc>
          <w:tcPr>
            <w:tcW w:w="1600" w:type="dxa"/>
            <w:tcBorders>
              <w:top w:val="single" w:sz="1" w:space="0" w:color="888888"/>
              <w:left w:val="single" w:sz="1" w:space="0" w:color="888888"/>
              <w:bottom w:val="single" w:sz="1" w:space="0" w:color="888888"/>
              <w:right w:val="single" w:sz="1" w:space="0" w:color="888888"/>
            </w:tcBorders>
            <w:shd w:val="clear" w:color="auto" w:fill="FFF8F8"/>
            <w:tcMar>
              <w:top w:w="80" w:type="dxa"/>
              <w:left w:w="130" w:type="dxa"/>
              <w:bottom w:w="80" w:type="dxa"/>
              <w:right w:w="130" w:type="dxa"/>
            </w:tcMar>
          </w:tcPr>
          <w:p w14:paraId="3C643F08" w14:textId="77777777" w:rsidR="00C42427" w:rsidRDefault="00000000">
            <w:r>
              <w:rPr>
                <w:sz w:val="22"/>
                <w:szCs w:val="22"/>
              </w:rPr>
              <w:t>Canon / 2022</w:t>
            </w:r>
          </w:p>
        </w:tc>
        <w:tc>
          <w:tcPr>
            <w:tcW w:w="1560" w:type="dxa"/>
            <w:tcBorders>
              <w:top w:val="single" w:sz="1" w:space="0" w:color="888888"/>
              <w:left w:val="single" w:sz="1" w:space="0" w:color="888888"/>
              <w:bottom w:val="single" w:sz="1" w:space="0" w:color="888888"/>
              <w:right w:val="single" w:sz="1" w:space="0" w:color="888888"/>
            </w:tcBorders>
            <w:shd w:val="clear" w:color="auto" w:fill="FFF8F8"/>
            <w:tcMar>
              <w:top w:w="80" w:type="dxa"/>
              <w:left w:w="130" w:type="dxa"/>
              <w:bottom w:w="80" w:type="dxa"/>
              <w:right w:w="130" w:type="dxa"/>
            </w:tcMar>
          </w:tcPr>
          <w:p w14:paraId="6CD2DEA9" w14:textId="77777777" w:rsidR="00C42427" w:rsidRDefault="00000000">
            <w:r>
              <w:rPr>
                <w:sz w:val="22"/>
                <w:szCs w:val="22"/>
              </w:rPr>
              <w:t>8.8 High</w:t>
            </w:r>
          </w:p>
        </w:tc>
        <w:tc>
          <w:tcPr>
            <w:tcW w:w="4400" w:type="dxa"/>
            <w:tcBorders>
              <w:top w:val="single" w:sz="1" w:space="0" w:color="888888"/>
              <w:left w:val="single" w:sz="1" w:space="0" w:color="888888"/>
              <w:bottom w:val="single" w:sz="1" w:space="0" w:color="888888"/>
              <w:right w:val="single" w:sz="1" w:space="0" w:color="888888"/>
            </w:tcBorders>
            <w:shd w:val="clear" w:color="auto" w:fill="FFF8F8"/>
            <w:tcMar>
              <w:top w:w="80" w:type="dxa"/>
              <w:left w:w="130" w:type="dxa"/>
              <w:bottom w:w="80" w:type="dxa"/>
              <w:right w:w="130" w:type="dxa"/>
            </w:tcMar>
          </w:tcPr>
          <w:p w14:paraId="70B4E18B" w14:textId="77777777" w:rsidR="00C42427" w:rsidRDefault="00000000">
            <w:r>
              <w:rPr>
                <w:sz w:val="22"/>
                <w:szCs w:val="22"/>
              </w:rPr>
              <w:t>Three heap overflows (CADM, SLP, Privet API) → RCE or DoS</w:t>
            </w:r>
          </w:p>
        </w:tc>
      </w:tr>
      <w:tr w:rsidR="00C42427" w14:paraId="133123CB"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601473EA" w14:textId="77777777" w:rsidR="00C42427" w:rsidRDefault="00000000">
            <w:r>
              <w:rPr>
                <w:sz w:val="22"/>
                <w:szCs w:val="22"/>
              </w:rPr>
              <w:t>CVE-2023-6233</w:t>
            </w:r>
          </w:p>
        </w:tc>
        <w:tc>
          <w:tcPr>
            <w:tcW w:w="1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0BAFC628" w14:textId="77777777" w:rsidR="00C42427" w:rsidRDefault="00000000">
            <w:r>
              <w:rPr>
                <w:sz w:val="22"/>
                <w:szCs w:val="22"/>
              </w:rPr>
              <w:t>Canon / 2023</w:t>
            </w:r>
          </w:p>
        </w:tc>
        <w:tc>
          <w:tcPr>
            <w:tcW w:w="1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7151A074" w14:textId="77777777" w:rsidR="00C42427" w:rsidRDefault="00000000">
            <w:r>
              <w:rPr>
                <w:sz w:val="22"/>
                <w:szCs w:val="22"/>
              </w:rPr>
              <w:t>9.8 Critical</w:t>
            </w:r>
          </w:p>
        </w:tc>
        <w:tc>
          <w:tcPr>
            <w:tcW w:w="4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63857D9F" w14:textId="77777777" w:rsidR="00C42427" w:rsidRDefault="00000000">
            <w:r>
              <w:rPr>
                <w:sz w:val="22"/>
                <w:szCs w:val="22"/>
              </w:rPr>
              <w:t>SLP attribute request overflow → unresponsiveness or arbitrary code execution</w:t>
            </w:r>
          </w:p>
        </w:tc>
      </w:tr>
    </w:tbl>
    <w:p w14:paraId="5F36CCDB" w14:textId="77777777" w:rsidR="00C42427" w:rsidRDefault="00C42427">
      <w:pPr>
        <w:pBdr>
          <w:bottom w:val="single" w:sz="4" w:space="1" w:color="AAAAAA"/>
        </w:pBdr>
        <w:spacing w:before="320" w:after="320"/>
      </w:pPr>
    </w:p>
    <w:p w14:paraId="545DCA8B" w14:textId="77777777" w:rsidR="00C42427" w:rsidRDefault="00000000">
      <w:pPr>
        <w:pStyle w:val="Heading1"/>
      </w:pPr>
      <w:r>
        <w:t>Attack 2: Denial-of-Service via Malformed Protocol Header Fields</w:t>
      </w:r>
    </w:p>
    <w:p w14:paraId="2D30204C" w14:textId="77777777" w:rsidR="00C42427" w:rsidRDefault="00000000">
      <w:pPr>
        <w:pStyle w:val="Heading2"/>
      </w:pPr>
      <w:r>
        <w:t>2.1 Background and Root Cause</w:t>
      </w:r>
    </w:p>
    <w:p w14:paraId="2A53C95F" w14:textId="77777777" w:rsidR="00C42427" w:rsidRDefault="00000000">
      <w:pPr>
        <w:spacing w:after="180" w:line="360" w:lineRule="auto"/>
        <w:jc w:val="both"/>
      </w:pPr>
      <w:r>
        <w:t xml:space="preserve">A denial-of-service (DoS) attack aims to make a device or service unavailable to legitimate users by exhausting its resources [16]. In network contexts, resource exhaustion typically targets bandwidth or connection slots. In embedded device contexts — which includes printer firmware — the targeted resource is more often CPU cycles, memory, or I/O bus time. A resource-constrained MCU running printer firmware has no operating system to kill runaway processes, no </w:t>
      </w:r>
      <w:r>
        <w:lastRenderedPageBreak/>
        <w:t xml:space="preserve">process scheduler to </w:t>
      </w:r>
      <w:proofErr w:type="spellStart"/>
      <w:r>
        <w:t>preempt</w:t>
      </w:r>
      <w:proofErr w:type="spellEnd"/>
      <w:r>
        <w:t xml:space="preserve"> a stuck loop, and no watchdog timer armed by default [17]. This makes embedded devices structurally more vulnerable to CPU-exhaustion DoS attacks than general-purpose computers.</w:t>
      </w:r>
    </w:p>
    <w:p w14:paraId="6B60F91B" w14:textId="77777777" w:rsidR="00C42427" w:rsidRDefault="00000000">
      <w:pPr>
        <w:spacing w:after="180" w:line="360" w:lineRule="auto"/>
        <w:jc w:val="both"/>
      </w:pPr>
      <w:r>
        <w:t xml:space="preserve">The specific DoS variant documented here exploits header field trust. The printer receives a job header from the cartridge containing two fields: </w:t>
      </w:r>
      <w:proofErr w:type="spellStart"/>
      <w:r>
        <w:t>page_count</w:t>
      </w:r>
      <w:proofErr w:type="spellEnd"/>
      <w:r>
        <w:t xml:space="preserve"> (how many pages to process) and </w:t>
      </w:r>
      <w:proofErr w:type="spellStart"/>
      <w:r>
        <w:t>frame_len</w:t>
      </w:r>
      <w:proofErr w:type="spellEnd"/>
      <w:r>
        <w:t xml:space="preserve"> (how many bytes of data per page). The printer’s firmware enters a nested processing loop driven entirely by these two values. If the firmware does not validate these fields against safe operational limits, an attacker who controls the cartridge can claim </w:t>
      </w:r>
      <w:proofErr w:type="spellStart"/>
      <w:r>
        <w:t>page_count</w:t>
      </w:r>
      <w:proofErr w:type="spellEnd"/>
      <w:r>
        <w:t xml:space="preserve">=255 and </w:t>
      </w:r>
      <w:proofErr w:type="spellStart"/>
      <w:r>
        <w:t>frame_len</w:t>
      </w:r>
      <w:proofErr w:type="spellEnd"/>
      <w:r>
        <w:t>=255, causing the printer to attempt processing 255 pages of 255 bytes each — a total of 65,025 bytes across 2,040 chunk reads, none of which serve any legitimate print purpose.</w:t>
      </w:r>
    </w:p>
    <w:p w14:paraId="02417879" w14:textId="77777777" w:rsidR="00C42427" w:rsidRDefault="00000000">
      <w:pPr>
        <w:pStyle w:val="Heading2"/>
      </w:pPr>
      <w:r>
        <w:t>2.2 Real-World Evidence: DoS in Printer Firmware</w:t>
      </w:r>
    </w:p>
    <w:p w14:paraId="24B77095" w14:textId="77777777" w:rsidR="00C42427" w:rsidRDefault="00000000">
      <w:pPr>
        <w:spacing w:after="180" w:line="360" w:lineRule="auto"/>
        <w:jc w:val="both"/>
      </w:pPr>
      <w:r>
        <w:t>Denial-of-service as a consequence of buffer overflow and malformed inputs in printers is well-documented. The same CVEs that enable code execution often also enable DoS as a fallback consequence when the overflow does not achieve full code execution:</w:t>
      </w:r>
    </w:p>
    <w:p w14:paraId="2C66C791" w14:textId="77777777" w:rsidR="00C42427" w:rsidRDefault="00000000">
      <w:pPr>
        <w:spacing w:after="180" w:line="360" w:lineRule="auto"/>
        <w:jc w:val="both"/>
      </w:pPr>
      <w:r>
        <w:t xml:space="preserve">CVE-2022-24672, CVE-2022-24673, CVE-2022-24674 (Canon, 2022): Canon’s advisory explicitly states that these three vulnerabilities allow attackers to perform arbitrary code execution, remote code execution, ‘and Denial-of-Service attacks’ on affected Canon </w:t>
      </w:r>
      <w:proofErr w:type="spellStart"/>
      <w:r>
        <w:t>imageCLASS</w:t>
      </w:r>
      <w:proofErr w:type="spellEnd"/>
      <w:r>
        <w:t xml:space="preserve"> printer modules [6]. DoS here results from the printer crashing or becoming unresponsive when the overflow corrupts critical runtime state without achieving a clean code-execution primitive.</w:t>
      </w:r>
    </w:p>
    <w:p w14:paraId="7E02E26F" w14:textId="77777777" w:rsidR="00C42427" w:rsidRDefault="00000000">
      <w:pPr>
        <w:spacing w:after="180" w:line="360" w:lineRule="auto"/>
        <w:jc w:val="both"/>
      </w:pPr>
      <w:r>
        <w:t>CVE-2023-6233 (Canon, 2023): The SLP attribute request buffer overflow is rated CVSS 9.8 and explicitly documented to allow an attacker to trigger the affected product ‘being unresponsive’ as one of its primary outcomes, alongside arbitrary code execution [5]. Unresponsiveness here is the DoS outcome: the printer stops responding to legitimate print jobs and must be power-cycled to recover.</w:t>
      </w:r>
    </w:p>
    <w:p w14:paraId="4FB5B795" w14:textId="77777777" w:rsidR="00C42427" w:rsidRDefault="00000000">
      <w:pPr>
        <w:spacing w:after="180" w:line="360" w:lineRule="auto"/>
        <w:jc w:val="both"/>
      </w:pPr>
      <w:r>
        <w:t>Permanent Denial of Service (</w:t>
      </w:r>
      <w:proofErr w:type="spellStart"/>
      <w:r>
        <w:t>PDoS</w:t>
      </w:r>
      <w:proofErr w:type="spellEnd"/>
      <w:r>
        <w:t xml:space="preserve">) via Firmware Corruption: Wikipedia’s documented attack taxonomy includes a category called Permanent Denial of Service, in which a printer or networking device is bricked by exploiting remote administration vulnerabilities to overwrite firmware with a corrupt image [16]. This is the extreme end of the DoS spectrum: rather than temporarily exhausting resources, the attacker permanently disables the device. The printer-specific attack </w:t>
      </w:r>
      <w:r>
        <w:lastRenderedPageBreak/>
        <w:t>vector here is a malicious cartridge that triggers firmware overwrite routines through crafted protocol messages.</w:t>
      </w:r>
    </w:p>
    <w:p w14:paraId="0950A154" w14:textId="77777777" w:rsidR="00C42427" w:rsidRDefault="00000000">
      <w:pPr>
        <w:spacing w:after="180" w:line="360" w:lineRule="auto"/>
        <w:jc w:val="both"/>
      </w:pPr>
      <w:r>
        <w:t xml:space="preserve">Energy Resource Exhaustion (ERE) on Embedded Devices: </w:t>
      </w:r>
      <w:proofErr w:type="spellStart"/>
      <w:r>
        <w:t>Desnitsky</w:t>
      </w:r>
      <w:proofErr w:type="spellEnd"/>
      <w:r>
        <w:t xml:space="preserve"> et al. [17] evaluate energy resource exhaustion attacks on embedded cyber-physical devices, demonstrating that embedded MCUs can be forced into infinite processing loops by crafted data packets, exhausting their CPU cycles and effectively making them unresponsive. Their experimental results on physical microcontroller hardware directly support the mechanism described here: a cartridge sending crafted header fields with maximally inflated values forces the printer MCU into a processing loop it cannot escape.</w:t>
      </w:r>
    </w:p>
    <w:p w14:paraId="7549D0F4" w14:textId="77777777" w:rsidR="00C42427" w:rsidRDefault="00000000">
      <w:pPr>
        <w:pStyle w:val="Heading2"/>
      </w:pPr>
      <w:r>
        <w:t>2.3 How the Attack Works on Real Printers</w:t>
      </w:r>
    </w:p>
    <w:p w14:paraId="2BE21EBF" w14:textId="77777777" w:rsidR="00C42427" w:rsidRDefault="00000000">
      <w:pPr>
        <w:spacing w:after="180" w:line="360" w:lineRule="auto"/>
        <w:jc w:val="both"/>
      </w:pPr>
      <w:r>
        <w:t>The DoS attack proceeds as follows on a real printer with inadequate header field validation:</w:t>
      </w:r>
    </w:p>
    <w:p w14:paraId="1CC253D7" w14:textId="77777777" w:rsidR="00C42427" w:rsidRDefault="00000000">
      <w:pPr>
        <w:pStyle w:val="ListParagraph"/>
        <w:numPr>
          <w:ilvl w:val="0"/>
          <w:numId w:val="2"/>
        </w:numPr>
        <w:spacing w:before="40" w:after="40" w:line="340" w:lineRule="auto"/>
      </w:pPr>
      <w:r>
        <w:t xml:space="preserve">Stage 1 — Malicious header: The attacker’s cartridge sends a protocol header claiming </w:t>
      </w:r>
      <w:proofErr w:type="spellStart"/>
      <w:r>
        <w:t>page_count</w:t>
      </w:r>
      <w:proofErr w:type="spellEnd"/>
      <w:r>
        <w:t xml:space="preserve">=255 and </w:t>
      </w:r>
      <w:proofErr w:type="spellStart"/>
      <w:r>
        <w:t>frame_len</w:t>
      </w:r>
      <w:proofErr w:type="spellEnd"/>
      <w:r>
        <w:t>=255. The integrity check (CRC or equivalent) is computed correctly over these malicious values and appended to the header. The printer’s header validation passes.</w:t>
      </w:r>
    </w:p>
    <w:p w14:paraId="66171966" w14:textId="77777777" w:rsidR="00C42427" w:rsidRDefault="00000000">
      <w:pPr>
        <w:pStyle w:val="ListParagraph"/>
        <w:numPr>
          <w:ilvl w:val="0"/>
          <w:numId w:val="2"/>
        </w:numPr>
        <w:spacing w:before="40" w:after="40" w:line="340" w:lineRule="auto"/>
      </w:pPr>
      <w:r>
        <w:t xml:space="preserve">Stage 2 — Resource exhaustion loop: The printer enters its page processing loop. For each of 255 claimed pages, it attempts to read 255 bytes of frame data from the cartridge in 32-byte chunks. This generates approximately 2,040 I²C read transactions. All legitimate operations — USB response, network management, display updates, watchdog service — are blocked for the duration of this loop because the printer MCU has no </w:t>
      </w:r>
      <w:proofErr w:type="spellStart"/>
      <w:r>
        <w:t>preemptive</w:t>
      </w:r>
      <w:proofErr w:type="spellEnd"/>
      <w:r>
        <w:t xml:space="preserve"> scheduler.</w:t>
      </w:r>
    </w:p>
    <w:p w14:paraId="1F364409" w14:textId="77777777" w:rsidR="00C42427" w:rsidRDefault="00000000">
      <w:pPr>
        <w:pStyle w:val="ListParagraph"/>
        <w:numPr>
          <w:ilvl w:val="0"/>
          <w:numId w:val="2"/>
        </w:numPr>
        <w:spacing w:before="40" w:after="40" w:line="340" w:lineRule="auto"/>
      </w:pPr>
      <w:r>
        <w:t xml:space="preserve">Stage 3 — Device lockout: The printer remains in its processing loop until all 255 pages are ‘processed’. During this </w:t>
      </w:r>
      <w:proofErr w:type="gramStart"/>
      <w:r>
        <w:t>time</w:t>
      </w:r>
      <w:proofErr w:type="gramEnd"/>
      <w:r>
        <w:t xml:space="preserve"> it accepts no legitimate print jobs, no cancel commands from the user interface, and no management requests over the network. Recovery requires a physical power cycle. If the cartridge is still inserted after restart and no watchdog or blacklist mechanism has been added, the attack can be immediately repeated.</w:t>
      </w:r>
    </w:p>
    <w:p w14:paraId="7FDCC8E9" w14:textId="77777777" w:rsidR="00C42427" w:rsidRDefault="00C42427">
      <w:pPr>
        <w:spacing w:after="100"/>
      </w:pPr>
    </w:p>
    <w:p w14:paraId="541482F6" w14:textId="77777777" w:rsidR="00C42427" w:rsidRDefault="00000000">
      <w:pPr>
        <w:spacing w:after="180" w:line="360" w:lineRule="auto"/>
        <w:jc w:val="both"/>
      </w:pPr>
      <w:r>
        <w:t xml:space="preserve">This attack is an example of what DoS research classifies as a logical resource exhaustion attack [18][19]: the victim device is not overwhelmed by traffic volume but by the computational and I/O cost of processing one malformed but syntactically valid request. The CRC passes because the </w:t>
      </w:r>
      <w:r>
        <w:lastRenderedPageBreak/>
        <w:t>attacker computed it correctly. The page loop runs because the printer trusts the header values. The device locks out because it has no bounds on how much work a single job can demand.</w:t>
      </w:r>
    </w:p>
    <w:p w14:paraId="31F0FBFF" w14:textId="77777777" w:rsidR="00C42427" w:rsidRDefault="00000000">
      <w:pPr>
        <w:pStyle w:val="Heading2"/>
      </w:pPr>
      <w:r>
        <w:t>2.4 Why CRC Cannot Prevent This Attack</w:t>
      </w:r>
    </w:p>
    <w:p w14:paraId="05003D4F" w14:textId="77777777" w:rsidR="00C42427" w:rsidRDefault="00000000">
      <w:pPr>
        <w:spacing w:after="180" w:line="360" w:lineRule="auto"/>
        <w:jc w:val="both"/>
      </w:pPr>
      <w:r>
        <w:t xml:space="preserve">CRC verification on the header confirms that the header bytes arrived without transmission error. It says absolutely nothing about whether the values in those bytes are within safe or meaningful operational ranges [9][10]. The CRC of a header claiming </w:t>
      </w:r>
      <w:proofErr w:type="spellStart"/>
      <w:r>
        <w:t>page_count</w:t>
      </w:r>
      <w:proofErr w:type="spellEnd"/>
      <w:r>
        <w:t xml:space="preserve">=255 is computed, transmitted, and verified identically to the CRC of a header claiming </w:t>
      </w:r>
      <w:proofErr w:type="spellStart"/>
      <w:r>
        <w:t>page_count</w:t>
      </w:r>
      <w:proofErr w:type="spellEnd"/>
      <w:r>
        <w:t>=2. Both are syntactically correct. Both pass integrity checking. The difference is entirely semantic, and CRC has no semantic awareness.</w:t>
      </w:r>
    </w:p>
    <w:p w14:paraId="753CA0BD" w14:textId="77777777" w:rsidR="00C42427" w:rsidRDefault="00000000">
      <w:pPr>
        <w:spacing w:after="180" w:line="360" w:lineRule="auto"/>
        <w:jc w:val="both"/>
      </w:pPr>
      <w:r>
        <w:t xml:space="preserve">This distinction between syntactic integrity and semantic validation is critical. CRC answers the question: “Did the bytes I received match what was sent?” It cannot answer: “Are these values safe to act on?” Semantic validation — checking that </w:t>
      </w:r>
      <w:proofErr w:type="spellStart"/>
      <w:r>
        <w:t>page_count</w:t>
      </w:r>
      <w:proofErr w:type="spellEnd"/>
      <w:r>
        <w:t xml:space="preserve"> is within [1, MAX_PAGES] and </w:t>
      </w:r>
      <w:proofErr w:type="spellStart"/>
      <w:r>
        <w:t>frame_len</w:t>
      </w:r>
      <w:proofErr w:type="spellEnd"/>
      <w:r>
        <w:t xml:space="preserve"> is within [1, FRAME_SIZE] — must be a separate, explicit check implemented by the firmware after the CRC passes [14][15].</w:t>
      </w:r>
    </w:p>
    <w:p w14:paraId="31EF76D6" w14:textId="77777777" w:rsidR="00C42427" w:rsidRDefault="00000000">
      <w:pPr>
        <w:spacing w:after="180" w:line="360" w:lineRule="auto"/>
        <w:jc w:val="both"/>
      </w:pPr>
      <w:r>
        <w:t xml:space="preserve">As Needham noted in the foundational study of DoS attacks [18], many protocols are vulnerable to DoS not because of cryptographic weakness but because they require the receiver to perform work proportional to attacker-controlled parameters, with no upper bound on that work. The correct fix is resource bounding: cap the amount of work any single unauthenticated or peripheral-supplied input can demand. This is analogous to the rate limiting and connection throttling that network-layer DoS </w:t>
      </w:r>
      <w:proofErr w:type="spellStart"/>
      <w:r>
        <w:t>defenses</w:t>
      </w:r>
      <w:proofErr w:type="spellEnd"/>
      <w:r>
        <w:t xml:space="preserve"> employ [19][20].</w:t>
      </w:r>
    </w:p>
    <w:p w14:paraId="4AAEB31A" w14:textId="77777777" w:rsidR="00C42427" w:rsidRDefault="00000000">
      <w:pPr>
        <w:pStyle w:val="Heading2"/>
      </w:pPr>
      <w:r>
        <w:t>2.5 Mitigations</w:t>
      </w:r>
    </w:p>
    <w:p w14:paraId="2B19D19A" w14:textId="77777777" w:rsidR="00C42427" w:rsidRDefault="00000000">
      <w:pPr>
        <w:spacing w:after="180" w:line="360" w:lineRule="auto"/>
        <w:jc w:val="both"/>
      </w:pPr>
      <w:r>
        <w:t>The following mitigations address header-field DoS in printer firmware, in order of priority:</w:t>
      </w:r>
    </w:p>
    <w:p w14:paraId="188ABCAA" w14:textId="77777777" w:rsidR="00C42427" w:rsidRDefault="00000000">
      <w:pPr>
        <w:pStyle w:val="ListParagraph"/>
        <w:numPr>
          <w:ilvl w:val="0"/>
          <w:numId w:val="2"/>
        </w:numPr>
        <w:spacing w:before="40" w:after="40" w:line="340" w:lineRule="auto"/>
      </w:pPr>
      <w:r>
        <w:t xml:space="preserve">Validate all header fields against safe operational bounds immediately after CRC passes: assert </w:t>
      </w:r>
      <w:proofErr w:type="spellStart"/>
      <w:r>
        <w:t>page_count</w:t>
      </w:r>
      <w:proofErr w:type="spellEnd"/>
      <w:r>
        <w:t xml:space="preserve"> ≤ MAX_PAGES and </w:t>
      </w:r>
      <w:proofErr w:type="spellStart"/>
      <w:r>
        <w:t>frame_len</w:t>
      </w:r>
      <w:proofErr w:type="spellEnd"/>
      <w:r>
        <w:t xml:space="preserve"> ≤ FRAME_SIZE. Reject and abort any job that fails these checks. This is the single most effective fix and requires only two conditional statements.</w:t>
      </w:r>
    </w:p>
    <w:p w14:paraId="1D7496AF" w14:textId="77777777" w:rsidR="00C42427" w:rsidRDefault="00000000">
      <w:pPr>
        <w:pStyle w:val="ListParagraph"/>
        <w:numPr>
          <w:ilvl w:val="0"/>
          <w:numId w:val="2"/>
        </w:numPr>
        <w:spacing w:before="40" w:after="40" w:line="340" w:lineRule="auto"/>
      </w:pPr>
      <w:r>
        <w:t xml:space="preserve">Arm the watchdog timer during print jobs: most MCUs include a hardware watchdog that resets the device if not periodically serviced. A watchdog armed during protocol receive </w:t>
      </w:r>
      <w:r>
        <w:lastRenderedPageBreak/>
        <w:t>loops will force a restart if any single job takes too long, limiting the maximum duration of a DoS from indefinite to bounded [2].</w:t>
      </w:r>
    </w:p>
    <w:p w14:paraId="1CC571A5" w14:textId="77777777" w:rsidR="00C42427" w:rsidRDefault="00000000">
      <w:pPr>
        <w:pStyle w:val="ListParagraph"/>
        <w:numPr>
          <w:ilvl w:val="0"/>
          <w:numId w:val="2"/>
        </w:numPr>
        <w:spacing w:before="40" w:after="40" w:line="340" w:lineRule="auto"/>
      </w:pPr>
      <w:r>
        <w:t>Implement job-level resource caps: define a maximum total byte count and maximum wall-clock time per job. Abort any job that exceeds these limits, regardless of how many pages remain.</w:t>
      </w:r>
    </w:p>
    <w:p w14:paraId="5DA59803" w14:textId="77777777" w:rsidR="00C42427" w:rsidRDefault="00000000">
      <w:pPr>
        <w:pStyle w:val="ListParagraph"/>
        <w:numPr>
          <w:ilvl w:val="0"/>
          <w:numId w:val="2"/>
        </w:numPr>
        <w:spacing w:before="40" w:after="40" w:line="340" w:lineRule="auto"/>
      </w:pPr>
      <w:r>
        <w:t xml:space="preserve">Log and rate-limit cartridge jobs: if a </w:t>
      </w:r>
      <w:proofErr w:type="gramStart"/>
      <w:r>
        <w:t>cartridge triggers</w:t>
      </w:r>
      <w:proofErr w:type="gramEnd"/>
      <w:r>
        <w:t xml:space="preserve"> repeated protocol aborts, flag it and require user confirmation before processing further jobs. </w:t>
      </w:r>
      <w:proofErr w:type="gramStart"/>
      <w:r>
        <w:t>This limits</w:t>
      </w:r>
      <w:proofErr w:type="gramEnd"/>
      <w:r>
        <w:t xml:space="preserve"> repeated DoS attacks without user awareness.</w:t>
      </w:r>
    </w:p>
    <w:p w14:paraId="34C59976" w14:textId="77777777" w:rsidR="00C42427" w:rsidRDefault="00000000">
      <w:pPr>
        <w:pStyle w:val="ListParagraph"/>
        <w:numPr>
          <w:ilvl w:val="0"/>
          <w:numId w:val="2"/>
        </w:numPr>
        <w:spacing w:before="40" w:after="40" w:line="340" w:lineRule="auto"/>
      </w:pPr>
      <w:r>
        <w:t xml:space="preserve">Pair header field validation with HMAC authentication: HMAC over the full header ensures the header fields were generated by a legitimate cartridge. An attacker’s cartridge cannot forge an HMAC for arbitrary </w:t>
      </w:r>
      <w:proofErr w:type="spellStart"/>
      <w:r>
        <w:t>page_count</w:t>
      </w:r>
      <w:proofErr w:type="spellEnd"/>
      <w:r>
        <w:t xml:space="preserve"> and </w:t>
      </w:r>
      <w:proofErr w:type="spellStart"/>
      <w:r>
        <w:t>frame_len</w:t>
      </w:r>
      <w:proofErr w:type="spellEnd"/>
      <w:r>
        <w:t xml:space="preserve"> values without the secret key [12][13].</w:t>
      </w:r>
    </w:p>
    <w:p w14:paraId="1B9D0CB3" w14:textId="77777777" w:rsidR="00C42427" w:rsidRDefault="00C42427">
      <w:pPr>
        <w:spacing w:after="100"/>
      </w:pPr>
    </w:p>
    <w:p w14:paraId="72FCF7C8" w14:textId="77777777" w:rsidR="00C42427" w:rsidRDefault="00000000">
      <w:pPr>
        <w:spacing w:before="80" w:after="100"/>
        <w:jc w:val="center"/>
      </w:pPr>
      <w:r>
        <w:rPr>
          <w:i/>
          <w:iCs/>
          <w:sz w:val="22"/>
          <w:szCs w:val="22"/>
        </w:rPr>
        <w:t>Table 2. Comparison of CRC vs. HMAC against buffer overflow and DoS attacks.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3300"/>
        <w:gridCol w:w="3300"/>
      </w:tblGrid>
      <w:tr w:rsidR="00C42427" w14:paraId="1F89C177" w14:textId="77777777">
        <w:tblPrEx>
          <w:tblCellMar>
            <w:top w:w="0" w:type="dxa"/>
            <w:bottom w:w="0" w:type="dxa"/>
          </w:tblCellMar>
        </w:tblPrEx>
        <w:tc>
          <w:tcPr>
            <w:tcW w:w="27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30" w:type="dxa"/>
              <w:bottom w:w="80" w:type="dxa"/>
              <w:right w:w="130" w:type="dxa"/>
            </w:tcMar>
          </w:tcPr>
          <w:p w14:paraId="6DBA9BCE" w14:textId="77777777" w:rsidR="00C42427" w:rsidRDefault="00000000">
            <w:r>
              <w:rPr>
                <w:b/>
                <w:bCs/>
                <w:sz w:val="22"/>
                <w:szCs w:val="22"/>
              </w:rPr>
              <w:t>Property</w:t>
            </w:r>
          </w:p>
        </w:tc>
        <w:tc>
          <w:tcPr>
            <w:tcW w:w="33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30" w:type="dxa"/>
              <w:bottom w:w="80" w:type="dxa"/>
              <w:right w:w="130" w:type="dxa"/>
            </w:tcMar>
          </w:tcPr>
          <w:p w14:paraId="2AF81A42" w14:textId="77777777" w:rsidR="00C42427" w:rsidRDefault="00000000">
            <w:r>
              <w:rPr>
                <w:b/>
                <w:bCs/>
                <w:sz w:val="22"/>
                <w:szCs w:val="22"/>
              </w:rPr>
              <w:t>CRC-8 (current)</w:t>
            </w:r>
          </w:p>
        </w:tc>
        <w:tc>
          <w:tcPr>
            <w:tcW w:w="33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30" w:type="dxa"/>
              <w:bottom w:w="80" w:type="dxa"/>
              <w:right w:w="130" w:type="dxa"/>
            </w:tcMar>
          </w:tcPr>
          <w:p w14:paraId="0B142986" w14:textId="77777777" w:rsidR="00C42427" w:rsidRDefault="00000000">
            <w:r>
              <w:rPr>
                <w:b/>
                <w:bCs/>
                <w:sz w:val="22"/>
                <w:szCs w:val="22"/>
              </w:rPr>
              <w:t>HMAC-SHA256 (recommended)</w:t>
            </w:r>
          </w:p>
        </w:tc>
      </w:tr>
      <w:tr w:rsidR="00C42427" w14:paraId="41A9D85B" w14:textId="77777777">
        <w:tblPrEx>
          <w:tblCellMar>
            <w:top w:w="0" w:type="dxa"/>
            <w:bottom w:w="0" w:type="dxa"/>
          </w:tblCellMar>
        </w:tblPrEx>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02CFA629" w14:textId="77777777" w:rsidR="00C42427" w:rsidRDefault="00000000">
            <w:r>
              <w:rPr>
                <w:sz w:val="22"/>
                <w:szCs w:val="22"/>
              </w:rPr>
              <w:t>Detects accidental transmission errors</w:t>
            </w:r>
          </w:p>
        </w:tc>
        <w:tc>
          <w:tcPr>
            <w:tcW w:w="3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732621A6" w14:textId="77777777" w:rsidR="00C42427" w:rsidRDefault="00000000">
            <w:r>
              <w:rPr>
                <w:sz w:val="22"/>
                <w:szCs w:val="22"/>
              </w:rPr>
              <w:t>✓ Yes — designed for this purpose</w:t>
            </w:r>
          </w:p>
        </w:tc>
        <w:tc>
          <w:tcPr>
            <w:tcW w:w="3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18E5C456" w14:textId="77777777" w:rsidR="00C42427" w:rsidRDefault="00000000">
            <w:r>
              <w:rPr>
                <w:sz w:val="22"/>
                <w:szCs w:val="22"/>
              </w:rPr>
              <w:t>✓ Yes — MAC also detects corruption</w:t>
            </w:r>
          </w:p>
        </w:tc>
      </w:tr>
      <w:tr w:rsidR="00C42427" w14:paraId="35DBF439" w14:textId="77777777">
        <w:tblPrEx>
          <w:tblCellMar>
            <w:top w:w="0" w:type="dxa"/>
            <w:bottom w:w="0" w:type="dxa"/>
          </w:tblCellMar>
        </w:tblPrEx>
        <w:tc>
          <w:tcPr>
            <w:tcW w:w="2760" w:type="dxa"/>
            <w:tcBorders>
              <w:top w:val="single" w:sz="1" w:space="0" w:color="888888"/>
              <w:left w:val="single" w:sz="1" w:space="0" w:color="888888"/>
              <w:bottom w:val="single" w:sz="1" w:space="0" w:color="888888"/>
              <w:right w:val="single" w:sz="1" w:space="0" w:color="888888"/>
            </w:tcBorders>
            <w:shd w:val="clear" w:color="auto" w:fill="F9F9F9"/>
            <w:tcMar>
              <w:top w:w="80" w:type="dxa"/>
              <w:left w:w="130" w:type="dxa"/>
              <w:bottom w:w="80" w:type="dxa"/>
              <w:right w:w="130" w:type="dxa"/>
            </w:tcMar>
          </w:tcPr>
          <w:p w14:paraId="2BDDEEFB" w14:textId="77777777" w:rsidR="00C42427" w:rsidRDefault="00000000">
            <w:r>
              <w:rPr>
                <w:sz w:val="22"/>
                <w:szCs w:val="22"/>
              </w:rPr>
              <w:t>Detects intentional payload manipulation</w:t>
            </w:r>
          </w:p>
        </w:tc>
        <w:tc>
          <w:tcPr>
            <w:tcW w:w="3300" w:type="dxa"/>
            <w:tcBorders>
              <w:top w:val="single" w:sz="1" w:space="0" w:color="888888"/>
              <w:left w:val="single" w:sz="1" w:space="0" w:color="888888"/>
              <w:bottom w:val="single" w:sz="1" w:space="0" w:color="888888"/>
              <w:right w:val="single" w:sz="1" w:space="0" w:color="888888"/>
            </w:tcBorders>
            <w:shd w:val="clear" w:color="auto" w:fill="F9F9F9"/>
            <w:tcMar>
              <w:top w:w="80" w:type="dxa"/>
              <w:left w:w="130" w:type="dxa"/>
              <w:bottom w:w="80" w:type="dxa"/>
              <w:right w:w="130" w:type="dxa"/>
            </w:tcMar>
          </w:tcPr>
          <w:p w14:paraId="7C25D771" w14:textId="77777777" w:rsidR="00C42427" w:rsidRDefault="00000000">
            <w:r>
              <w:rPr>
                <w:sz w:val="22"/>
                <w:szCs w:val="22"/>
              </w:rPr>
              <w:t>✗ No — attacker recomputes CRC over modified data</w:t>
            </w:r>
          </w:p>
        </w:tc>
        <w:tc>
          <w:tcPr>
            <w:tcW w:w="3300" w:type="dxa"/>
            <w:tcBorders>
              <w:top w:val="single" w:sz="1" w:space="0" w:color="888888"/>
              <w:left w:val="single" w:sz="1" w:space="0" w:color="888888"/>
              <w:bottom w:val="single" w:sz="1" w:space="0" w:color="888888"/>
              <w:right w:val="single" w:sz="1" w:space="0" w:color="888888"/>
            </w:tcBorders>
            <w:shd w:val="clear" w:color="auto" w:fill="F9F9F9"/>
            <w:tcMar>
              <w:top w:w="80" w:type="dxa"/>
              <w:left w:w="130" w:type="dxa"/>
              <w:bottom w:w="80" w:type="dxa"/>
              <w:right w:w="130" w:type="dxa"/>
            </w:tcMar>
          </w:tcPr>
          <w:p w14:paraId="52C6F619" w14:textId="77777777" w:rsidR="00C42427" w:rsidRDefault="00000000">
            <w:r>
              <w:rPr>
                <w:sz w:val="22"/>
                <w:szCs w:val="22"/>
              </w:rPr>
              <w:t>✓ Yes — attacker cannot compute MAC without secret key</w:t>
            </w:r>
          </w:p>
        </w:tc>
      </w:tr>
      <w:tr w:rsidR="00C42427" w14:paraId="1E239017" w14:textId="77777777">
        <w:tblPrEx>
          <w:tblCellMar>
            <w:top w:w="0" w:type="dxa"/>
            <w:bottom w:w="0" w:type="dxa"/>
          </w:tblCellMar>
        </w:tblPrEx>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52351210" w14:textId="77777777" w:rsidR="00C42427" w:rsidRDefault="00000000">
            <w:r>
              <w:rPr>
                <w:sz w:val="22"/>
                <w:szCs w:val="22"/>
              </w:rPr>
              <w:t xml:space="preserve">Prevents buffer overflow via forged </w:t>
            </w:r>
            <w:proofErr w:type="spellStart"/>
            <w:r>
              <w:rPr>
                <w:sz w:val="22"/>
                <w:szCs w:val="22"/>
              </w:rPr>
              <w:t>frame_len</w:t>
            </w:r>
            <w:proofErr w:type="spellEnd"/>
          </w:p>
        </w:tc>
        <w:tc>
          <w:tcPr>
            <w:tcW w:w="3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5902C41B" w14:textId="77777777" w:rsidR="00C42427" w:rsidRDefault="00000000">
            <w:r>
              <w:rPr>
                <w:sz w:val="22"/>
                <w:szCs w:val="22"/>
              </w:rPr>
              <w:t>✗ No — CRC passes on the forged header</w:t>
            </w:r>
          </w:p>
        </w:tc>
        <w:tc>
          <w:tcPr>
            <w:tcW w:w="3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5A2A26E9" w14:textId="77777777" w:rsidR="00C42427" w:rsidRDefault="00000000">
            <w:r>
              <w:rPr>
                <w:sz w:val="22"/>
                <w:szCs w:val="22"/>
              </w:rPr>
              <w:t>✓ Yes — MAC fails on any header the attacker generates</w:t>
            </w:r>
          </w:p>
        </w:tc>
      </w:tr>
      <w:tr w:rsidR="00C42427" w14:paraId="64B3DE1F" w14:textId="77777777">
        <w:tblPrEx>
          <w:tblCellMar>
            <w:top w:w="0" w:type="dxa"/>
            <w:bottom w:w="0" w:type="dxa"/>
          </w:tblCellMar>
        </w:tblPrEx>
        <w:tc>
          <w:tcPr>
            <w:tcW w:w="2760" w:type="dxa"/>
            <w:tcBorders>
              <w:top w:val="single" w:sz="1" w:space="0" w:color="888888"/>
              <w:left w:val="single" w:sz="1" w:space="0" w:color="888888"/>
              <w:bottom w:val="single" w:sz="1" w:space="0" w:color="888888"/>
              <w:right w:val="single" w:sz="1" w:space="0" w:color="888888"/>
            </w:tcBorders>
            <w:shd w:val="clear" w:color="auto" w:fill="F9F9F9"/>
            <w:tcMar>
              <w:top w:w="80" w:type="dxa"/>
              <w:left w:w="130" w:type="dxa"/>
              <w:bottom w:w="80" w:type="dxa"/>
              <w:right w:w="130" w:type="dxa"/>
            </w:tcMar>
          </w:tcPr>
          <w:p w14:paraId="555B74DB" w14:textId="77777777" w:rsidR="00C42427" w:rsidRDefault="00000000">
            <w:r>
              <w:rPr>
                <w:sz w:val="22"/>
                <w:szCs w:val="22"/>
              </w:rPr>
              <w:t xml:space="preserve">Prevents DoS via inflated </w:t>
            </w:r>
            <w:proofErr w:type="spellStart"/>
            <w:r>
              <w:rPr>
                <w:sz w:val="22"/>
                <w:szCs w:val="22"/>
              </w:rPr>
              <w:t>page_count</w:t>
            </w:r>
            <w:proofErr w:type="spellEnd"/>
          </w:p>
        </w:tc>
        <w:tc>
          <w:tcPr>
            <w:tcW w:w="3300" w:type="dxa"/>
            <w:tcBorders>
              <w:top w:val="single" w:sz="1" w:space="0" w:color="888888"/>
              <w:left w:val="single" w:sz="1" w:space="0" w:color="888888"/>
              <w:bottom w:val="single" w:sz="1" w:space="0" w:color="888888"/>
              <w:right w:val="single" w:sz="1" w:space="0" w:color="888888"/>
            </w:tcBorders>
            <w:shd w:val="clear" w:color="auto" w:fill="F9F9F9"/>
            <w:tcMar>
              <w:top w:w="80" w:type="dxa"/>
              <w:left w:w="130" w:type="dxa"/>
              <w:bottom w:w="80" w:type="dxa"/>
              <w:right w:w="130" w:type="dxa"/>
            </w:tcMar>
          </w:tcPr>
          <w:p w14:paraId="309EDFBC" w14:textId="77777777" w:rsidR="00C42427" w:rsidRDefault="00000000">
            <w:r>
              <w:rPr>
                <w:sz w:val="22"/>
                <w:szCs w:val="22"/>
              </w:rPr>
              <w:t>✗ No — CRC is semantically blind to field values</w:t>
            </w:r>
          </w:p>
        </w:tc>
        <w:tc>
          <w:tcPr>
            <w:tcW w:w="3300" w:type="dxa"/>
            <w:tcBorders>
              <w:top w:val="single" w:sz="1" w:space="0" w:color="888888"/>
              <w:left w:val="single" w:sz="1" w:space="0" w:color="888888"/>
              <w:bottom w:val="single" w:sz="1" w:space="0" w:color="888888"/>
              <w:right w:val="single" w:sz="1" w:space="0" w:color="888888"/>
            </w:tcBorders>
            <w:shd w:val="clear" w:color="auto" w:fill="F9F9F9"/>
            <w:tcMar>
              <w:top w:w="80" w:type="dxa"/>
              <w:left w:w="130" w:type="dxa"/>
              <w:bottom w:w="80" w:type="dxa"/>
              <w:right w:w="130" w:type="dxa"/>
            </w:tcMar>
          </w:tcPr>
          <w:p w14:paraId="59F9F188" w14:textId="77777777" w:rsidR="00C42427" w:rsidRDefault="00000000">
            <w:r>
              <w:rPr>
                <w:sz w:val="22"/>
                <w:szCs w:val="22"/>
              </w:rPr>
              <w:t>Partial — MAC confirms source; bounds check still needed</w:t>
            </w:r>
          </w:p>
        </w:tc>
      </w:tr>
      <w:tr w:rsidR="00C42427" w14:paraId="4B81CAE1" w14:textId="77777777">
        <w:tblPrEx>
          <w:tblCellMar>
            <w:top w:w="0" w:type="dxa"/>
            <w:bottom w:w="0" w:type="dxa"/>
          </w:tblCellMar>
        </w:tblPrEx>
        <w:tc>
          <w:tcPr>
            <w:tcW w:w="2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635D44CB" w14:textId="77777777" w:rsidR="00C42427" w:rsidRDefault="00000000">
            <w:r>
              <w:rPr>
                <w:sz w:val="22"/>
                <w:szCs w:val="22"/>
              </w:rPr>
              <w:t>Requires secret key</w:t>
            </w:r>
          </w:p>
        </w:tc>
        <w:tc>
          <w:tcPr>
            <w:tcW w:w="3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0C25116A" w14:textId="77777777" w:rsidR="00C42427" w:rsidRDefault="00000000">
            <w:r>
              <w:rPr>
                <w:sz w:val="22"/>
                <w:szCs w:val="22"/>
              </w:rPr>
              <w:t>✗ No — keyless, public computation</w:t>
            </w:r>
          </w:p>
        </w:tc>
        <w:tc>
          <w:tcPr>
            <w:tcW w:w="33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30" w:type="dxa"/>
              <w:bottom w:w="80" w:type="dxa"/>
              <w:right w:w="130" w:type="dxa"/>
            </w:tcMar>
          </w:tcPr>
          <w:p w14:paraId="0519D80B" w14:textId="77777777" w:rsidR="00C42427" w:rsidRDefault="00000000">
            <w:r>
              <w:rPr>
                <w:sz w:val="22"/>
                <w:szCs w:val="22"/>
              </w:rPr>
              <w:t>✓ Yes — key stored in secure element (ATECC608B, DS28C50)</w:t>
            </w:r>
          </w:p>
        </w:tc>
      </w:tr>
      <w:tr w:rsidR="00C42427" w14:paraId="7CEDF902" w14:textId="77777777">
        <w:tblPrEx>
          <w:tblCellMar>
            <w:top w:w="0" w:type="dxa"/>
            <w:bottom w:w="0" w:type="dxa"/>
          </w:tblCellMar>
        </w:tblPrEx>
        <w:tc>
          <w:tcPr>
            <w:tcW w:w="2760" w:type="dxa"/>
            <w:tcBorders>
              <w:top w:val="single" w:sz="1" w:space="0" w:color="888888"/>
              <w:left w:val="single" w:sz="1" w:space="0" w:color="888888"/>
              <w:bottom w:val="single" w:sz="1" w:space="0" w:color="888888"/>
              <w:right w:val="single" w:sz="1" w:space="0" w:color="888888"/>
            </w:tcBorders>
            <w:shd w:val="clear" w:color="auto" w:fill="F9F9F9"/>
            <w:tcMar>
              <w:top w:w="80" w:type="dxa"/>
              <w:left w:w="130" w:type="dxa"/>
              <w:bottom w:w="80" w:type="dxa"/>
              <w:right w:w="130" w:type="dxa"/>
            </w:tcMar>
          </w:tcPr>
          <w:p w14:paraId="4D50EC02" w14:textId="77777777" w:rsidR="00C42427" w:rsidRDefault="00000000">
            <w:r>
              <w:rPr>
                <w:sz w:val="22"/>
                <w:szCs w:val="22"/>
              </w:rPr>
              <w:t>Computational cost on MCU</w:t>
            </w:r>
          </w:p>
        </w:tc>
        <w:tc>
          <w:tcPr>
            <w:tcW w:w="3300" w:type="dxa"/>
            <w:tcBorders>
              <w:top w:val="single" w:sz="1" w:space="0" w:color="888888"/>
              <w:left w:val="single" w:sz="1" w:space="0" w:color="888888"/>
              <w:bottom w:val="single" w:sz="1" w:space="0" w:color="888888"/>
              <w:right w:val="single" w:sz="1" w:space="0" w:color="888888"/>
            </w:tcBorders>
            <w:shd w:val="clear" w:color="auto" w:fill="F9F9F9"/>
            <w:tcMar>
              <w:top w:w="80" w:type="dxa"/>
              <w:left w:w="130" w:type="dxa"/>
              <w:bottom w:w="80" w:type="dxa"/>
              <w:right w:w="130" w:type="dxa"/>
            </w:tcMar>
          </w:tcPr>
          <w:p w14:paraId="347AF380" w14:textId="77777777" w:rsidR="00C42427" w:rsidRDefault="00000000">
            <w:r>
              <w:rPr>
                <w:sz w:val="22"/>
                <w:szCs w:val="22"/>
              </w:rPr>
              <w:t>Very low (8-bit polynomial division)</w:t>
            </w:r>
          </w:p>
        </w:tc>
        <w:tc>
          <w:tcPr>
            <w:tcW w:w="3300" w:type="dxa"/>
            <w:tcBorders>
              <w:top w:val="single" w:sz="1" w:space="0" w:color="888888"/>
              <w:left w:val="single" w:sz="1" w:space="0" w:color="888888"/>
              <w:bottom w:val="single" w:sz="1" w:space="0" w:color="888888"/>
              <w:right w:val="single" w:sz="1" w:space="0" w:color="888888"/>
            </w:tcBorders>
            <w:shd w:val="clear" w:color="auto" w:fill="F9F9F9"/>
            <w:tcMar>
              <w:top w:w="80" w:type="dxa"/>
              <w:left w:w="130" w:type="dxa"/>
              <w:bottom w:w="80" w:type="dxa"/>
              <w:right w:w="130" w:type="dxa"/>
            </w:tcMar>
          </w:tcPr>
          <w:p w14:paraId="6BDC491E" w14:textId="77777777" w:rsidR="00C42427" w:rsidRDefault="00000000">
            <w:r>
              <w:rPr>
                <w:sz w:val="22"/>
                <w:szCs w:val="22"/>
              </w:rPr>
              <w:t>Moderate — acceptable with hardware crypto acceleration</w:t>
            </w:r>
          </w:p>
        </w:tc>
      </w:tr>
    </w:tbl>
    <w:p w14:paraId="5076BE55" w14:textId="77777777" w:rsidR="00C42427" w:rsidRDefault="00C42427">
      <w:pPr>
        <w:pBdr>
          <w:bottom w:val="single" w:sz="4" w:space="1" w:color="AAAAAA"/>
        </w:pBdr>
        <w:spacing w:before="320" w:after="320"/>
      </w:pPr>
    </w:p>
    <w:p w14:paraId="76709F6A" w14:textId="77777777" w:rsidR="00C42427" w:rsidRDefault="00000000">
      <w:pPr>
        <w:pStyle w:val="Heading1"/>
      </w:pPr>
      <w:r>
        <w:t>References</w:t>
      </w:r>
    </w:p>
    <w:p w14:paraId="59A08BDC" w14:textId="77777777" w:rsidR="00C42427" w:rsidRDefault="00000000">
      <w:pPr>
        <w:spacing w:after="180" w:line="360" w:lineRule="auto"/>
        <w:jc w:val="both"/>
      </w:pPr>
      <w:r>
        <w:t>[1] OWASP Foundation, "Buffer Overflow," OWASP Community Pages. [Online]. Available: https://owasp.org/www-community/vulnerabilities/Buffer_Overflow</w:t>
      </w:r>
    </w:p>
    <w:p w14:paraId="7F22558E" w14:textId="77777777" w:rsidR="00C42427" w:rsidRDefault="00000000">
      <w:pPr>
        <w:spacing w:after="180" w:line="360" w:lineRule="auto"/>
        <w:jc w:val="both"/>
      </w:pPr>
      <w:r>
        <w:lastRenderedPageBreak/>
        <w:t xml:space="preserve">[2] A. A. Yavuz, A. </w:t>
      </w:r>
      <w:proofErr w:type="spellStart"/>
      <w:r>
        <w:t>Mudgerikar</w:t>
      </w:r>
      <w:proofErr w:type="spellEnd"/>
      <w:r>
        <w:t xml:space="preserve">, A. Singla, I. Papapanagiotou, and E. Bertino, "An In-Depth Survey of Bypassing Buffer Overflow Mitigation Techniques," Applied Sciences, vol. 12, no. 13, p. 6702, Jul. 2022. </w:t>
      </w:r>
      <w:proofErr w:type="spellStart"/>
      <w:r>
        <w:t>doi</w:t>
      </w:r>
      <w:proofErr w:type="spellEnd"/>
      <w:r>
        <w:t>: 10.3390/app12136702</w:t>
      </w:r>
    </w:p>
    <w:p w14:paraId="6339123C" w14:textId="77777777" w:rsidR="00C42427" w:rsidRDefault="00000000">
      <w:pPr>
        <w:spacing w:after="180" w:line="360" w:lineRule="auto"/>
        <w:jc w:val="both"/>
      </w:pPr>
      <w:r>
        <w:t>[3] CVE-2022-28722, "HP Inkjet/LaserJet Pro/</w:t>
      </w:r>
      <w:proofErr w:type="spellStart"/>
      <w:r>
        <w:t>PageWide</w:t>
      </w:r>
      <w:proofErr w:type="spellEnd"/>
      <w:r>
        <w:t xml:space="preserve"> Pro Buffer Overflow via Cartridge Interface," National Vulnerability Database, 2022. [Online]. Available: https://nvd.nist.gov/vuln/detail/CVE-2022-28722</w:t>
      </w:r>
    </w:p>
    <w:p w14:paraId="1F7D6622" w14:textId="77777777" w:rsidR="00C42427" w:rsidRDefault="00000000">
      <w:pPr>
        <w:spacing w:after="180" w:line="360" w:lineRule="auto"/>
        <w:jc w:val="both"/>
      </w:pPr>
      <w:r>
        <w:t>[4] Bleeping Computer, "8-year-old HP Printer Vulnerability Affects 150 Printer Models," Nov. 2021. [Online]. Available: https://www.bleepingcomputer.com/news/security/8-year-old-hp-printer-vulnerability-affects-150-printer-models/</w:t>
      </w:r>
    </w:p>
    <w:p w14:paraId="28C3F421" w14:textId="77777777" w:rsidR="00C42427" w:rsidRDefault="00000000">
      <w:pPr>
        <w:spacing w:after="180" w:line="360" w:lineRule="auto"/>
        <w:jc w:val="both"/>
      </w:pPr>
      <w:r>
        <w:t>[5] CVE-2023-6230, "Buffer Overflow in Canon Office Multifunction Printer Address Book Authentication," CVSS 9.8. [Online]. Available: https://ogma.in/analysis-of-cve-2023-6230-buffer-overflow-vulnerability-in-canon-printers</w:t>
      </w:r>
    </w:p>
    <w:p w14:paraId="00795E4C" w14:textId="77777777" w:rsidR="00C42427" w:rsidRDefault="00000000">
      <w:pPr>
        <w:spacing w:after="180" w:line="360" w:lineRule="auto"/>
        <w:jc w:val="both"/>
      </w:pPr>
      <w:r>
        <w:t>[6] The Sec Master, "How to Fix CVE-2022-24672, CVE-2022-24673, CVE-2022-24674 — Three Buffer Overflow Vulnerabilities in Canon Printers," 2022. [Online]. Available: https://thesecmaster.com/blog/how-to-fix-the-three-new-buffer-overflow-vulnerabilities-in-canon-printers</w:t>
      </w:r>
    </w:p>
    <w:p w14:paraId="4B2347F3" w14:textId="77777777" w:rsidR="00C42427" w:rsidRDefault="00000000">
      <w:pPr>
        <w:spacing w:after="180" w:line="360" w:lineRule="auto"/>
        <w:jc w:val="both"/>
      </w:pPr>
      <w:r>
        <w:t xml:space="preserve">[7] </w:t>
      </w:r>
      <w:proofErr w:type="spellStart"/>
      <w:r>
        <w:t>Eclypsium</w:t>
      </w:r>
      <w:proofErr w:type="spellEnd"/>
      <w:r>
        <w:t xml:space="preserve">, "The Top 5 Firmware and Hardware Attack Vectors," </w:t>
      </w:r>
      <w:proofErr w:type="spellStart"/>
      <w:r>
        <w:t>Eclypsium</w:t>
      </w:r>
      <w:proofErr w:type="spellEnd"/>
      <w:r>
        <w:t xml:space="preserve"> Blog, Apr. 2025. [Online]. Available: https://eclypsium.com/blog/the-top-5-firmware-and-hardware-attack-vectors/</w:t>
      </w:r>
    </w:p>
    <w:p w14:paraId="238C13EA" w14:textId="77777777" w:rsidR="00C42427" w:rsidRDefault="00000000">
      <w:pPr>
        <w:spacing w:after="180" w:line="360" w:lineRule="auto"/>
        <w:jc w:val="both"/>
      </w:pPr>
      <w:r>
        <w:t>[8] W. W. Peterson and D. T. Brown, "Cyclic Codes for Error Detection," Proceedings of the IRE, vol. 49, no. 1, pp. 228–235, Jan. 1961.</w:t>
      </w:r>
    </w:p>
    <w:p w14:paraId="4FE4C6C2" w14:textId="77777777" w:rsidR="00C42427" w:rsidRDefault="00000000">
      <w:pPr>
        <w:spacing w:after="180" w:line="360" w:lineRule="auto"/>
        <w:jc w:val="both"/>
      </w:pPr>
      <w:r>
        <w:t>[9] P. Koopman and T. Chakravarty, "Cyclic Redundancy Code (CRC) Polynomial Selection for Embedded Networks," in Proc. IEEE Int. Conf. on Dependable Systems and Networks (DSN), 2004, pp. 145–154.</w:t>
      </w:r>
    </w:p>
    <w:p w14:paraId="16A9D6A6" w14:textId="77777777" w:rsidR="00C42427" w:rsidRDefault="00000000">
      <w:pPr>
        <w:spacing w:after="180" w:line="360" w:lineRule="auto"/>
        <w:jc w:val="both"/>
      </w:pPr>
      <w:r>
        <w:t xml:space="preserve">[10] V. Abramov and B. Sunar, "Message Authentication Based on Cryptographically Secure CRC without Polynomial Irreducibility Test," Cryptography and Communications, Springer Nature, Apr. 2017. </w:t>
      </w:r>
      <w:proofErr w:type="spellStart"/>
      <w:r>
        <w:t>doi</w:t>
      </w:r>
      <w:proofErr w:type="spellEnd"/>
      <w:r>
        <w:t>: 10.1007/s12095-017-0227-8</w:t>
      </w:r>
    </w:p>
    <w:p w14:paraId="0C9C4D70" w14:textId="77777777" w:rsidR="00C42427" w:rsidRDefault="00000000">
      <w:pPr>
        <w:spacing w:after="180" w:line="360" w:lineRule="auto"/>
        <w:jc w:val="both"/>
      </w:pPr>
      <w:r>
        <w:lastRenderedPageBreak/>
        <w:t>[11] Crypto-IT, "Message Authentication Code — CRC vs. MAC," Crypto-IT Reference. [Online]. Available: http://www.crypto-it.net/eng/theory/mac.html</w:t>
      </w:r>
    </w:p>
    <w:p w14:paraId="63537ED4" w14:textId="77777777" w:rsidR="00C42427" w:rsidRDefault="00000000">
      <w:pPr>
        <w:spacing w:after="180" w:line="360" w:lineRule="auto"/>
        <w:jc w:val="both"/>
      </w:pPr>
      <w:r>
        <w:t>[12] H. Krawczyk, M. Bellare, and R. Canetti, "HMAC: Keyed-Hashing for Message Authentication," IETF RFC 2104, Feb. 1997. [Online]. Available: https://www.rfc-editor.org/rfc/rfc2104</w:t>
      </w:r>
    </w:p>
    <w:p w14:paraId="15356D40" w14:textId="77777777" w:rsidR="00C42427" w:rsidRDefault="00000000">
      <w:pPr>
        <w:spacing w:after="180" w:line="360" w:lineRule="auto"/>
        <w:jc w:val="both"/>
      </w:pPr>
      <w:r>
        <w:t xml:space="preserve">[13] Microchip Technology, "ATECC608B </w:t>
      </w:r>
      <w:proofErr w:type="spellStart"/>
      <w:r>
        <w:t>CryptoAuthentication</w:t>
      </w:r>
      <w:proofErr w:type="spellEnd"/>
      <w:r>
        <w:t xml:space="preserve"> Device Datasheet," DS40002239B, 2021. [Online]. Available: https://ww1.microchip.com/downloads/en/DeviceDoc/ATECC608B-CryptoAuthentication-Device-Summary-Data-Sheet-DS40002239B.pdf</w:t>
      </w:r>
    </w:p>
    <w:p w14:paraId="3DACE8BF" w14:textId="77777777" w:rsidR="00C42427" w:rsidRDefault="00000000">
      <w:pPr>
        <w:spacing w:after="180" w:line="360" w:lineRule="auto"/>
        <w:jc w:val="both"/>
      </w:pPr>
      <w:r>
        <w:t>[14] CISA, "Secure by Design Alert: Eliminating Buffer Overflow Vulnerabilities," Cybersecurity and Infrastructure Security Agency, 2024. [Online]. Available: https://www.cisa.gov/resources-tools/resources/secure-design-alert-eliminating-buffer-overflow-vulnerabilities</w:t>
      </w:r>
    </w:p>
    <w:p w14:paraId="2D69BF94" w14:textId="77777777" w:rsidR="00C42427" w:rsidRDefault="00000000">
      <w:pPr>
        <w:spacing w:after="180" w:line="360" w:lineRule="auto"/>
        <w:jc w:val="both"/>
      </w:pPr>
      <w:r>
        <w:t xml:space="preserve">[15] S. U. Hashmat et al., "A Survey on IoT and Embedded Device Firmware Security: Architecture, Extraction Techniques, and Vulnerability Analysis Frameworks," Discover Internet of Things, vol. 3, no. 15, Oct. 2023. </w:t>
      </w:r>
      <w:proofErr w:type="spellStart"/>
      <w:r>
        <w:t>doi</w:t>
      </w:r>
      <w:proofErr w:type="spellEnd"/>
      <w:r>
        <w:t>: 10.1007/s43926-023-00045-2</w:t>
      </w:r>
    </w:p>
    <w:p w14:paraId="4CE76296" w14:textId="77777777" w:rsidR="00C42427" w:rsidRDefault="00000000">
      <w:pPr>
        <w:spacing w:after="180" w:line="360" w:lineRule="auto"/>
        <w:jc w:val="both"/>
      </w:pPr>
      <w:r>
        <w:t>[16] Wikipedia, "Denial-of-Service Attack," Wikimedia Foundation. [Online]. Available: https://en.wikipedia.org/wiki/Denial-of-service_attack</w:t>
      </w:r>
    </w:p>
    <w:p w14:paraId="63BDFBD1" w14:textId="77777777" w:rsidR="00C42427" w:rsidRDefault="00000000">
      <w:pPr>
        <w:spacing w:after="180" w:line="360" w:lineRule="auto"/>
        <w:jc w:val="both"/>
      </w:pPr>
      <w:r>
        <w:t xml:space="preserve">[17] V. Desnitsky, D. </w:t>
      </w:r>
      <w:proofErr w:type="spellStart"/>
      <w:r>
        <w:t>Levshun</w:t>
      </w:r>
      <w:proofErr w:type="spellEnd"/>
      <w:r>
        <w:t xml:space="preserve">, A. </w:t>
      </w:r>
      <w:proofErr w:type="spellStart"/>
      <w:r>
        <w:t>Chechulin</w:t>
      </w:r>
      <w:proofErr w:type="spellEnd"/>
      <w:r>
        <w:t xml:space="preserve">, and I. Kotenko, "Evaluation of Resource Exhaustion Attacks against Wireless Mobile Devices," Electronics, vol. 8, no. 5, p. 500, May 2019. </w:t>
      </w:r>
      <w:proofErr w:type="spellStart"/>
      <w:r>
        <w:t>doi</w:t>
      </w:r>
      <w:proofErr w:type="spellEnd"/>
      <w:r>
        <w:t>: 10.3390/electronics8050500</w:t>
      </w:r>
    </w:p>
    <w:p w14:paraId="0A726D47" w14:textId="77777777" w:rsidR="00C42427" w:rsidRDefault="00000000">
      <w:pPr>
        <w:spacing w:after="180" w:line="360" w:lineRule="auto"/>
        <w:jc w:val="both"/>
      </w:pPr>
      <w:r>
        <w:t>[18] R. Needham, "Denial of Service: An Example," Communications of the ACM, vol. 37, no. 11, pp. 42–46, Nov. 1994.</w:t>
      </w:r>
    </w:p>
    <w:p w14:paraId="62D6E2EE" w14:textId="77777777" w:rsidR="00C42427" w:rsidRDefault="00000000">
      <w:pPr>
        <w:spacing w:after="180" w:line="360" w:lineRule="auto"/>
        <w:jc w:val="both"/>
      </w:pPr>
      <w:r>
        <w:t xml:space="preserve">[19] V. </w:t>
      </w:r>
      <w:proofErr w:type="spellStart"/>
      <w:r>
        <w:t>Shiaeles</w:t>
      </w:r>
      <w:proofErr w:type="spellEnd"/>
      <w:r>
        <w:t xml:space="preserve">, V. Katos, A. Karakos, and B. Papadopoulos, "Denial of Service Attacks, Defences and Research Challenges," Cluster Computing, Springer, Jan. 2017. </w:t>
      </w:r>
      <w:proofErr w:type="spellStart"/>
      <w:r>
        <w:t>doi</w:t>
      </w:r>
      <w:proofErr w:type="spellEnd"/>
      <w:r>
        <w:t>: 10.1007/s10586-017-0730-x</w:t>
      </w:r>
    </w:p>
    <w:p w14:paraId="68CCAFC2" w14:textId="77777777" w:rsidR="00C42427" w:rsidRDefault="00000000">
      <w:pPr>
        <w:spacing w:after="180" w:line="360" w:lineRule="auto"/>
        <w:jc w:val="both"/>
      </w:pPr>
      <w:r>
        <w:t xml:space="preserve">[20] O. </w:t>
      </w:r>
      <w:proofErr w:type="spellStart"/>
      <w:r>
        <w:t>Osanaiye</w:t>
      </w:r>
      <w:proofErr w:type="spellEnd"/>
      <w:r>
        <w:t xml:space="preserve">, H. Cai, K. K. R. Choo, A. </w:t>
      </w:r>
      <w:proofErr w:type="spellStart"/>
      <w:r>
        <w:t>Dehghantanha</w:t>
      </w:r>
      <w:proofErr w:type="spellEnd"/>
      <w:r>
        <w:t xml:space="preserve">, Z. Xu, and M. Dlodlo, "DDoS Attack and Detection Methods in Internet-Enabled Networks: Concept, Research Perspectives, and </w:t>
      </w:r>
      <w:r>
        <w:lastRenderedPageBreak/>
        <w:t xml:space="preserve">Challenges," Journal of Sensor and Actuator Networks, MDPI, vol. 12, no. 4, 2023. </w:t>
      </w:r>
      <w:proofErr w:type="spellStart"/>
      <w:r>
        <w:t>doi</w:t>
      </w:r>
      <w:proofErr w:type="spellEnd"/>
      <w:r>
        <w:t>: 10.3390/jsan12040051</w:t>
      </w:r>
    </w:p>
    <w:sectPr w:rsidR="00C424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C17BA"/>
    <w:multiLevelType w:val="hybridMultilevel"/>
    <w:tmpl w:val="BD829D82"/>
    <w:lvl w:ilvl="0" w:tplc="3508F82A">
      <w:start w:val="1"/>
      <w:numFmt w:val="bullet"/>
      <w:lvlText w:val="•"/>
      <w:lvlJc w:val="left"/>
      <w:pPr>
        <w:ind w:left="720" w:hanging="360"/>
      </w:pPr>
    </w:lvl>
    <w:lvl w:ilvl="1" w:tplc="E5DA9B3A">
      <w:numFmt w:val="decimal"/>
      <w:lvlText w:val=""/>
      <w:lvlJc w:val="left"/>
    </w:lvl>
    <w:lvl w:ilvl="2" w:tplc="6AE69B98">
      <w:numFmt w:val="decimal"/>
      <w:lvlText w:val=""/>
      <w:lvlJc w:val="left"/>
    </w:lvl>
    <w:lvl w:ilvl="3" w:tplc="BAF610B0">
      <w:numFmt w:val="decimal"/>
      <w:lvlText w:val=""/>
      <w:lvlJc w:val="left"/>
    </w:lvl>
    <w:lvl w:ilvl="4" w:tplc="85208AA2">
      <w:numFmt w:val="decimal"/>
      <w:lvlText w:val=""/>
      <w:lvlJc w:val="left"/>
    </w:lvl>
    <w:lvl w:ilvl="5" w:tplc="F4DAFEBA">
      <w:numFmt w:val="decimal"/>
      <w:lvlText w:val=""/>
      <w:lvlJc w:val="left"/>
    </w:lvl>
    <w:lvl w:ilvl="6" w:tplc="E6BA00D8">
      <w:numFmt w:val="decimal"/>
      <w:lvlText w:val=""/>
      <w:lvlJc w:val="left"/>
    </w:lvl>
    <w:lvl w:ilvl="7" w:tplc="BCF6AAFA">
      <w:numFmt w:val="decimal"/>
      <w:lvlText w:val=""/>
      <w:lvlJc w:val="left"/>
    </w:lvl>
    <w:lvl w:ilvl="8" w:tplc="E3688944">
      <w:numFmt w:val="decimal"/>
      <w:lvlText w:val=""/>
      <w:lvlJc w:val="left"/>
    </w:lvl>
  </w:abstractNum>
  <w:abstractNum w:abstractNumId="1" w15:restartNumberingAfterBreak="0">
    <w:nsid w:val="4F4F3D23"/>
    <w:multiLevelType w:val="hybridMultilevel"/>
    <w:tmpl w:val="5EEAD4A8"/>
    <w:lvl w:ilvl="0" w:tplc="C8724682">
      <w:start w:val="1"/>
      <w:numFmt w:val="bullet"/>
      <w:lvlText w:val="●"/>
      <w:lvlJc w:val="left"/>
      <w:pPr>
        <w:ind w:left="720" w:hanging="360"/>
      </w:pPr>
    </w:lvl>
    <w:lvl w:ilvl="1" w:tplc="3BF6A68E">
      <w:start w:val="1"/>
      <w:numFmt w:val="bullet"/>
      <w:lvlText w:val="○"/>
      <w:lvlJc w:val="left"/>
      <w:pPr>
        <w:ind w:left="1440" w:hanging="360"/>
      </w:pPr>
    </w:lvl>
    <w:lvl w:ilvl="2" w:tplc="37562CCE">
      <w:start w:val="1"/>
      <w:numFmt w:val="bullet"/>
      <w:lvlText w:val="■"/>
      <w:lvlJc w:val="left"/>
      <w:pPr>
        <w:ind w:left="2160" w:hanging="360"/>
      </w:pPr>
    </w:lvl>
    <w:lvl w:ilvl="3" w:tplc="467EB15A">
      <w:start w:val="1"/>
      <w:numFmt w:val="bullet"/>
      <w:lvlText w:val="●"/>
      <w:lvlJc w:val="left"/>
      <w:pPr>
        <w:ind w:left="2880" w:hanging="360"/>
      </w:pPr>
    </w:lvl>
    <w:lvl w:ilvl="4" w:tplc="3E140BC0">
      <w:start w:val="1"/>
      <w:numFmt w:val="bullet"/>
      <w:lvlText w:val="○"/>
      <w:lvlJc w:val="left"/>
      <w:pPr>
        <w:ind w:left="3600" w:hanging="360"/>
      </w:pPr>
    </w:lvl>
    <w:lvl w:ilvl="5" w:tplc="37D6541E">
      <w:start w:val="1"/>
      <w:numFmt w:val="bullet"/>
      <w:lvlText w:val="■"/>
      <w:lvlJc w:val="left"/>
      <w:pPr>
        <w:ind w:left="4320" w:hanging="360"/>
      </w:pPr>
    </w:lvl>
    <w:lvl w:ilvl="6" w:tplc="5DCE3308">
      <w:start w:val="1"/>
      <w:numFmt w:val="bullet"/>
      <w:lvlText w:val="●"/>
      <w:lvlJc w:val="left"/>
      <w:pPr>
        <w:ind w:left="5040" w:hanging="360"/>
      </w:pPr>
    </w:lvl>
    <w:lvl w:ilvl="7" w:tplc="229E4B90">
      <w:start w:val="1"/>
      <w:numFmt w:val="bullet"/>
      <w:lvlText w:val="●"/>
      <w:lvlJc w:val="left"/>
      <w:pPr>
        <w:ind w:left="5760" w:hanging="360"/>
      </w:pPr>
    </w:lvl>
    <w:lvl w:ilvl="8" w:tplc="63761900">
      <w:start w:val="1"/>
      <w:numFmt w:val="bullet"/>
      <w:lvlText w:val="●"/>
      <w:lvlJc w:val="left"/>
      <w:pPr>
        <w:ind w:left="6480" w:hanging="360"/>
      </w:pPr>
    </w:lvl>
  </w:abstractNum>
  <w:num w:numId="1" w16cid:durableId="1849707147">
    <w:abstractNumId w:val="1"/>
    <w:lvlOverride w:ilvl="0">
      <w:startOverride w:val="1"/>
    </w:lvlOverride>
  </w:num>
  <w:num w:numId="2" w16cid:durableId="777985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427"/>
    <w:rsid w:val="00225A70"/>
    <w:rsid w:val="004E2A81"/>
    <w:rsid w:val="00C42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8B8A"/>
  <w15:docId w15:val="{A4136516-1AC5-416D-9238-62285B5E8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sz w:val="28"/>
      <w:szCs w:val="28"/>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3529</Words>
  <Characters>20119</Characters>
  <Application>Microsoft Office Word</Application>
  <DocSecurity>0</DocSecurity>
  <Lines>167</Lines>
  <Paragraphs>47</Paragraphs>
  <ScaleCrop>false</ScaleCrop>
  <Company/>
  <LinksUpToDate>false</LinksUpToDate>
  <CharactersWithSpaces>23601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reeshuxd@outlook.com</cp:lastModifiedBy>
  <cp:revision>2</cp:revision>
  <dcterms:created xsi:type="dcterms:W3CDTF">2026-03-13T12:29:00Z</dcterms:created>
  <dcterms:modified xsi:type="dcterms:W3CDTF">2026-03-13T13:16:00Z</dcterms:modified>
</cp:coreProperties>
</file>