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rFonts w:ascii="Times New Roman" w:hAnsi="Times New Roman" w:eastAsia="Times New Roman" w:cs="Times New Roman"/>
          <w:sz w:val="48"/>
        </w:rPr>
        <w:t>Real-Time Multi-Disaster Impact Priority Prediction Using Machine Learning</w:t>
      </w:r>
    </w:p>
    <w:p>
      <w:pPr>
        <w:ind w:firstLine="0"/>
        <w:jc w:val="center"/>
      </w:pPr>
      <w:r>
        <w:rPr>
          <w:rFonts w:ascii="Times New Roman" w:hAnsi="Times New Roman" w:eastAsia="Times New Roman" w:cs="Times New Roman"/>
          <w:sz w:val="22"/>
        </w:rPr>
        <w:t>Author name(s)</w:t>
      </w:r>
    </w:p>
    <w:p>
      <w:pPr>
        <w:ind w:firstLine="0"/>
        <w:jc w:val="center"/>
      </w:pPr>
      <w:r>
        <w:rPr>
          <w:rFonts w:ascii="Times New Roman" w:hAnsi="Times New Roman" w:eastAsia="Times New Roman" w:cs="Times New Roman"/>
          <w:sz w:val="20"/>
        </w:rPr>
        <w:t>Department, Institution, City, Country</w:t>
      </w:r>
    </w:p>
    <w:p>
      <w:pPr>
        <w:spacing w:after="160"/>
        <w:ind w:firstLine="0"/>
        <w:jc w:val="center"/>
      </w:pPr>
      <w:r>
        <w:rPr>
          <w:rFonts w:ascii="Times New Roman" w:hAnsi="Times New Roman" w:eastAsia="Times New Roman" w:cs="Times New Roman"/>
          <w:i/>
          <w:sz w:val="18"/>
        </w:rPr>
        <w:t>Author email address</w:t>
      </w:r>
    </w:p>
    <w:p>
      <w:pPr>
        <w:sectPr>
          <w:footerReference w:type="default" r:id="rId9"/>
          <w:pgSz w:w="11906" w:h="16838"/>
          <w:pgMar w:top="1077" w:right="737" w:bottom="1440" w:left="737" w:header="454" w:footer="567" w:gutter="0"/>
          <w:cols w:space="238" w:num="1"/>
          <w:docGrid w:linePitch="360"/>
        </w:sectPr>
      </w:pPr>
    </w:p>
    <w:p>
      <w:pPr>
        <w:spacing w:after="120"/>
        <w:ind w:firstLine="0"/>
        <w:jc w:val="both"/>
      </w:pPr>
      <w:r>
        <w:rPr>
          <w:rFonts w:ascii="Times New Roman" w:hAnsi="Times New Roman" w:eastAsia="Times New Roman" w:cs="Times New Roman"/>
          <w:b/>
          <w:sz w:val="18"/>
        </w:rPr>
        <w:t xml:space="preserve">Abstract—This paper presents a prototype with two currently separate components: GDACS live-event monitoring and historical EM-DAT machine-learning development. In the retained title, “real-time” currently refers to event monitoring, not completed real-time ML inference. The repository's preprocessing report documents 8,774 retained country-event records covering six natural-hazard categories during 2000–2025. Two three-class targets, </w:t>
      </w:r>
      <w:r>
        <w:rPr>
          <w:rFonts w:ascii="Times New Roman" w:hAnsi="Times New Roman" w:eastAsia="Times New Roman" w:cs="Times New Roman"/>
          <w:b/>
          <w:sz w:val="18"/>
        </w:rPr>
        <w:t>affected_range</w:t>
      </w:r>
      <w:r>
        <w:rPr>
          <w:rFonts w:ascii="Times New Roman" w:hAnsi="Times New Roman" w:eastAsia="Times New Roman" w:cs="Times New Roman"/>
          <w:b/>
          <w:sz w:val="18"/>
        </w:rPr>
        <w:t xml:space="preserve"> and </w:t>
      </w:r>
      <w:r>
        <w:rPr>
          <w:rFonts w:ascii="Times New Roman" w:hAnsi="Times New Roman" w:eastAsia="Times New Roman" w:cs="Times New Roman"/>
          <w:b/>
          <w:sz w:val="18"/>
        </w:rPr>
        <w:t>impact_priority</w:t>
      </w:r>
      <w:r>
        <w:rPr>
          <w:rFonts w:ascii="Times New Roman" w:hAnsi="Times New Roman" w:eastAsia="Times New Roman" w:cs="Times New Roman"/>
          <w:b/>
          <w:sz w:val="18"/>
        </w:rPr>
        <w:t>, are derived from recorded human impacts using training-period thresholds. Nine hazard, location, and calendar features are used in separate Random Forest pipelines. Models are trained on labeled records from 2000–2019 and evaluated on validation records from 2020–2022. The original configuration achieves validation accuracy, macro F1, and weighted F1 of 51.99%, 0.5037, and 0.5172 for affected range, and 47.28%, 0.4632, and 0.4732 for impact priority. Validation-only experiments compare minimum leaf size, maximum depth, and class weighting while preserving features and preprocessing. The original configuration has the highest observed validation macro F1 for both targets among the configurations compared, although alternative settings improve selected metrics at the expense of others. The 2023–2025 test split remains untouched by model training and evaluation, and final test metrics are pending. Live GDACS-to-EM-DAT feature and category mapping is not yet fully validated, and live ML prediction integration is incomplete. The system is intended for human-reviewed decision support, not official warnings or automated dispatch.</w:t>
      </w:r>
    </w:p>
    <w:p>
      <w:pPr>
        <w:spacing w:after="120"/>
        <w:ind w:firstLine="0"/>
        <w:jc w:val="both"/>
      </w:pPr>
      <w:r>
        <w:rPr>
          <w:rFonts w:ascii="Times New Roman" w:hAnsi="Times New Roman" w:eastAsia="Times New Roman" w:cs="Times New Roman"/>
          <w:b/>
          <w:sz w:val="18"/>
        </w:rPr>
        <w:t>Index Terms—Disaster decision support, EM-DAT, GDACS, Random Forest, impact priority, affected population, temporal validation.</w:t>
      </w:r>
    </w:p>
    <w:p>
      <w:pPr>
        <w:pStyle w:val="Heading1"/>
        <w:jc w:val="center"/>
      </w:pPr>
      <w:r>
        <w:rPr>
          <w:rFonts w:ascii="Times New Roman" w:hAnsi="Times New Roman" w:eastAsia="Times New Roman" w:cs="Times New Roman"/>
          <w:smallCaps/>
        </w:rPr>
        <w:t>I. INTRODUCTION</w:t>
      </w:r>
    </w:p>
    <w:p>
      <w:pPr>
        <w:jc w:val="both"/>
      </w:pPr>
      <w:r>
        <w:rPr>
          <w:rFonts w:ascii="Times New Roman" w:hAnsi="Times New Roman" w:eastAsia="Times New Roman" w:cs="Times New Roman"/>
          <w:b w:val="0"/>
          <w:sz w:val="20"/>
        </w:rPr>
        <w:t>Disaster information systems support several stages of management, from preparedness to recovery; Sun, Bocchini, and Davison summarize AI applications across these stages [1]. Within this broader setting, identifying a reported hazard, assessing the risk of a location, and estimating the consequences of an individual event are distinct analytical tasks. Their datasets, outcomes, and evaluation requirements therefore need separate treatment.</w:t>
      </w:r>
    </w:p>
    <w:p>
      <w:pPr>
        <w:jc w:val="both"/>
      </w:pPr>
      <w:r>
        <w:rPr>
          <w:rFonts w:ascii="Times New Roman" w:hAnsi="Times New Roman" w:eastAsia="Times New Roman" w:cs="Times New Roman"/>
          <w:b w:val="0"/>
          <w:sz w:val="20"/>
        </w:rPr>
        <w:t>Zhang, Wang, and Lu [2] provide the conceptual base for this study through their regional assessment of multiple hazards and social vulnerability. Their framework concerns spatial risk levels in Idaho. The present project instead studies country-level disaster-event records and constructs two human-impact class targets from recorded affected populations and deaths. It does not extend their spatial index or measure social vulnerability. Existing global EM-DAT economic-loss modeling, including temporal and event-grouped evaluation [3], also establishes that multi-disaster impact prediction is an existing research area.</w:t>
      </w:r>
    </w:p>
    <w:p>
      <w:pPr>
        <w:jc w:val="both"/>
      </w:pPr>
      <w:r>
        <w:rPr>
          <w:rFonts w:ascii="Times New Roman" w:hAnsi="Times New Roman" w:eastAsia="Times New Roman" w:cs="Times New Roman"/>
          <w:b w:val="0"/>
          <w:sz w:val="20"/>
        </w:rPr>
        <w:t>The specific question examined here is whether nine fixed hazard, location, and calendar descriptors provide useful classification information for two training-defined human-impact targets in a later historical period, and how modest forest changes alter class-level performance. This is a focused empirical investigation rather than a claim that the broader problem has not been studied. The implemented contribution consists of transparent target construction, separate Random Forest pipelines, a training-majority baseline, and controlled validation-only parameter comparisons. These components use established methods.</w:t>
      </w:r>
    </w:p>
    <w:p>
      <w:pPr>
        <w:jc w:val="both"/>
      </w:pPr>
      <w:r>
        <w:rPr>
          <w:rFonts w:ascii="Times New Roman" w:hAnsi="Times New Roman" w:eastAsia="Times New Roman" w:cs="Times New Roman"/>
          <w:b w:val="0"/>
          <w:sz w:val="20"/>
        </w:rPr>
        <w:t>The project also implements GDACS live-event ingestion, persistent storage, an API, and a map interface. This monitoring path remains separate from historical classification. In the retained project title, “Real-Time” currently refers to event monitoring, not completed real-time ML inference. All numerical model results reported in this paper come from saved project validation artifacts. The original configuration is a validation reference, not a final deployment selection.</w:t>
      </w:r>
    </w:p>
    <w:p>
      <w:pPr>
        <w:pStyle w:val="Heading1"/>
        <w:jc w:val="center"/>
      </w:pPr>
      <w:r>
        <w:rPr>
          <w:rFonts w:ascii="Times New Roman" w:hAnsi="Times New Roman" w:eastAsia="Times New Roman" w:cs="Times New Roman"/>
          <w:smallCaps/>
        </w:rPr>
        <w:t>II. RELATED WORK</w:t>
      </w:r>
    </w:p>
    <w:p>
      <w:pPr>
        <w:pStyle w:val="Heading2"/>
      </w:pPr>
      <w:r>
        <w:rPr>
          <w:rFonts w:ascii="Times New Roman" w:hAnsi="Times New Roman" w:eastAsia="Times New Roman" w:cs="Times New Roman"/>
          <w:i/>
        </w:rPr>
        <w:t>A. Conceptual Base: Spatial Multi-Hazard Risk</w:t>
      </w:r>
    </w:p>
    <w:p>
      <w:pPr>
        <w:jc w:val="both"/>
      </w:pPr>
      <w:r>
        <w:rPr>
          <w:rFonts w:ascii="Times New Roman" w:hAnsi="Times New Roman" w:eastAsia="Times New Roman" w:cs="Times New Roman"/>
          <w:b w:val="0"/>
          <w:sz w:val="20"/>
        </w:rPr>
        <w:t>Zhang et al. [2] combine Idaho hazard information with American Community Survey indicators to assess flooding, wildfire, seismic potential, and social vulnerability across watersheds and cities. Their constructed hazard and vulnerability levels are classified using several methods, including Random Forest, and combined into a regional map. This provides a conceptual basis for considering different hazard contexts within one analytical framework. However, their spatial units and indicator-derived outcomes differ from the historical human consequences modeled here. Our location identifiers are not a substitute for their explicit social indicators, and our impact-priority label is not their regional risk index.</w:t>
      </w:r>
    </w:p>
    <w:p>
      <w:pPr>
        <w:jc w:val="both"/>
      </w:pPr>
      <w:r>
        <w:rPr>
          <w:rFonts w:ascii="Times New Roman" w:hAnsi="Times New Roman" w:eastAsia="Times New Roman" w:cs="Times New Roman"/>
          <w:b w:val="0"/>
          <w:sz w:val="20"/>
        </w:rPr>
        <w:t>Pidurkar et al. [4] likewise integrate geospatial and environmental layers into a Random Forest grid-level risk model for Ambazari, Nagpur. Their random spatial partition and mapped risk categories address local susceptibility rather than country-event human impacts. The reviewed text leaves independent label construction insufficiently clear for a direct experimental comparison. Neither study's classification scores can be interpreted as benchmarks for our affected-range or relative-priority targets. Combining records from several hazard categories also does not, by itself, model interacting or cascading hazards.</w:t>
      </w:r>
    </w:p>
    <w:p>
      <w:pPr>
        <w:pStyle w:val="Heading2"/>
      </w:pPr>
      <w:r>
        <w:rPr>
          <w:rFonts w:ascii="Times New Roman" w:hAnsi="Times New Roman" w:eastAsia="Times New Roman" w:cs="Times New Roman"/>
          <w:i/>
        </w:rPr>
        <w:t>B. Event-Level Impact and Casualty Prediction</w:t>
      </w:r>
    </w:p>
    <w:p>
      <w:pPr>
        <w:jc w:val="both"/>
      </w:pPr>
      <w:r>
        <w:rPr>
          <w:rFonts w:ascii="Times New Roman" w:hAnsi="Times New Roman" w:eastAsia="Times New Roman" w:cs="Times New Roman"/>
          <w:b w:val="0"/>
          <w:sz w:val="20"/>
        </w:rPr>
        <w:t>Talan et al. [3] provide the closest fully reviewed comparison in data structure and scope. They model global, multi-hazard EM-DAT economic losses using tree ensembles and statistical baselines, with event-grouped evaluation, chronological separation, and geographic and hazard transfer analyses. Their predictors include recorded human outcomes and end-date information, so their study is explicitly retrospective. Our targets are human-impact classes rather than monetary loss, and deaths and affected-population counts are excluded from our nine input features. This difference does not establish prospective readiness: the timing and revision of our historical descriptors still require verification before live use. Their event grouping also demonstrates why unique country-specific identifiers alone do not establish independence among records of the same underlying disaster.</w:t>
      </w:r>
    </w:p>
    <w:p>
      <w:pPr>
        <w:jc w:val="both"/>
      </w:pPr>
      <w:r>
        <w:rPr>
          <w:rFonts w:ascii="Times New Roman" w:hAnsi="Times New Roman" w:eastAsia="Times New Roman" w:cs="Times New Roman"/>
          <w:b w:val="0"/>
          <w:sz w:val="20"/>
        </w:rPr>
        <w:t>Li et al. [5] predict earthquake casualties in mainland China using a zoning support-vector regression approach with magnitude, population density, fault density, and GDP. Their evaluation includes a randomized heldout sample and training cross-validation. The exclusion of events with more than 1,000 deaths narrows the population for which their results apply. Their work is closer to human-impact prediction than susceptibility mapping, but remains single-hazard count estimation with contextual predictors absent from our feature set.</w:t>
      </w:r>
    </w:p>
    <w:p>
      <w:pPr>
        <w:jc w:val="both"/>
      </w:pPr>
      <w:r>
        <w:rPr>
          <w:rFonts w:ascii="Times New Roman" w:hAnsi="Times New Roman" w:eastAsia="Times New Roman" w:cs="Times New Roman"/>
          <w:b w:val="0"/>
          <w:sz w:val="20"/>
        </w:rPr>
        <w:t>Aykut, Günsoy, and Yıldırım [6] examine GDACS earthquake alerts against reported mortality and field-hospital deployment. Their event-level observational analysis is relevant to the future question of whether live-feed indicators correspond to human and operational outcomes. It does not establish a multiclass forest benchmark, a validated priority standard, or the equivalence of GDACS and EM-DAT features. Its small deployment sample and lack of a described independent predictive holdout limit interpretation of model-fit performance; inconsistencies in the published composite-event definitions also require resolution before reproduction. We therefore use this study to motivate outcome-linked evaluation of the feed, not to validate our own online inference.</w:t>
      </w:r>
    </w:p>
    <w:p>
      <w:pPr>
        <w:jc w:val="both"/>
      </w:pPr>
      <w:r>
        <w:rPr>
          <w:rFonts w:ascii="Times New Roman" w:hAnsi="Times New Roman" w:eastAsia="Times New Roman" w:cs="Times New Roman"/>
          <w:b w:val="0"/>
          <w:sz w:val="20"/>
        </w:rPr>
        <w:t>Other close studies have more restricted evidential coverage in the current review. The bibliographically verified Chen and Zhang paper [7] addresses automated-ML earthquake casualty-rate and economic-loss prediction; its title verifies this scope, but its data, algorithms, and evaluation were not accessible for substantive comparison. The indexed abstract of Akshay et al. [8] describes supervised flood-damage severity modeling, while that of Kalaivani et al. [9] describes ensemble-based multi-hazard severity and death prediction using the BDWCD dataset. These sources establish related task directions at the stated access level. Their label definitions, prediction-time inputs, and independent evaluation protocols have not been verified here, and their reported performance is not compared numerically with ours.</w:t>
      </w:r>
    </w:p>
    <w:p>
      <w:pPr>
        <w:pStyle w:val="Heading2"/>
      </w:pPr>
      <w:r>
        <w:rPr>
          <w:rFonts w:ascii="Times New Roman" w:hAnsi="Times New Roman" w:eastAsia="Times New Roman" w:cs="Times New Roman"/>
          <w:i/>
        </w:rPr>
        <w:t>C. Dataset Quality and Evaluation Foundations</w:t>
      </w:r>
    </w:p>
    <w:p>
      <w:pPr>
        <w:jc w:val="both"/>
      </w:pPr>
      <w:r>
        <w:rPr>
          <w:rFonts w:ascii="Times New Roman" w:hAnsi="Times New Roman" w:eastAsia="Times New Roman" w:cs="Times New Roman"/>
          <w:b w:val="0"/>
          <w:sz w:val="20"/>
        </w:rPr>
        <w:t>Delforge et al. [10] describe EM-DAT as a global database of human and economic disaster impacts organized into country-specific event records. This database description supports provenance and the unit-of-record distinction; the database-wide totals reported in their abstract are not this project's extraction size. Jones, Guha-Sapir, and Tubeuf [11] analyze missingness in an earlier EM-DAT natural-disaster sample and identify associations with event year, hazard type, and country income. Their findings motivate a reporting-bias limitation, rather than proving a particular missingness mechanism in our snapshot. Excluding unknown targets prevents invented labels but does not guarantee representativeness.</w:t>
      </w:r>
    </w:p>
    <w:p>
      <w:pPr>
        <w:jc w:val="both"/>
      </w:pPr>
      <w:r>
        <w:rPr>
          <w:rFonts w:ascii="Times New Roman" w:hAnsi="Times New Roman" w:eastAsia="Times New Roman" w:cs="Times New Roman"/>
          <w:b w:val="0"/>
          <w:sz w:val="20"/>
        </w:rPr>
        <w:t>At a broader level, the abstract of Albahri et al.'s review [12] discusses trustworthiness, bias, explanation, and data fusion in disaster AI. These are relevant evaluation concerns, not properties demonstrated by our current system. Breiman [13] supplies the forest algorithmic foundation, and Pedregosa et al. [14] supply the scikit-learn software reference. Kapoor and Narayanan [15] motivate training-only transformations and prediction-time availability checks, while Cawley and Talbot [16] explain why repeated model selection on a validation sample cannot replace independent final evaluation.</w:t>
      </w:r>
    </w:p>
    <w:p>
      <w:pPr>
        <w:pStyle w:val="Heading2"/>
      </w:pPr>
      <w:r>
        <w:rPr>
          <w:rFonts w:ascii="Times New Roman" w:hAnsi="Times New Roman" w:eastAsia="Times New Roman" w:cs="Times New Roman"/>
          <w:i/>
        </w:rPr>
        <w:t>D. Research Positioning and Evidence Scope</w:t>
      </w:r>
    </w:p>
    <w:p>
      <w:pPr>
        <w:jc w:val="both"/>
      </w:pPr>
      <w:r>
        <w:rPr>
          <w:rFonts w:ascii="Times New Roman" w:hAnsi="Times New Roman" w:eastAsia="Times New Roman" w:cs="Times New Roman"/>
          <w:b w:val="0"/>
          <w:sz w:val="20"/>
        </w:rPr>
        <w:t>The literature already includes regional multi-hazard mapping, event-level casualty prediction, global multi-hazard loss modeling, and GDACS outcome analyses. The defensible scope of this paper is consequently a documented evaluation of a particular pair of historical human-impact class proxies under a fixed feature budget and chronological development protocol. Differences in target construction and inputs motivate the experiment; they do not demonstrate a new algorithm or absence of equivalent work elsewhere. No superiority over published systems is inferred from cross-study scores.</w:t>
      </w:r>
    </w:p>
    <w:p>
      <w:pPr>
        <w:jc w:val="both"/>
      </w:pPr>
      <w:r>
        <w:rPr>
          <w:rFonts w:ascii="Times New Roman" w:hAnsi="Times New Roman" w:eastAsia="Times New Roman" w:cs="Times New Roman"/>
          <w:b w:val="0"/>
          <w:sz w:val="20"/>
        </w:rPr>
        <w:t>The literature-comparison matrix in the repository records the source and access level for each study. Full texts support the comparisons for Zhang, Talan, Pidurkar, Aykut, and the empirical sections of Li. Sun, Akshay, Kalaivani, Delforge, and Albahri are used only within verified abstract-level scope; Chen is used only within verified title and bibliographic scope. This is a focused review, not an exhaustive systematic assessment. Incomplete full-text coverage limits any definitive conclusion about exact task overlap.</w:t>
      </w:r>
    </w:p>
    <w:p>
      <w:pPr>
        <w:pStyle w:val="Heading1"/>
        <w:jc w:val="center"/>
      </w:pPr>
      <w:r>
        <w:rPr>
          <w:rFonts w:ascii="Times New Roman" w:hAnsi="Times New Roman" w:eastAsia="Times New Roman" w:cs="Times New Roman"/>
          <w:smallCaps/>
        </w:rPr>
        <w:t>III. METHODOLOGY</w:t>
      </w:r>
    </w:p>
    <w:p>
      <w:pPr>
        <w:jc w:val="both"/>
      </w:pPr>
      <w:r>
        <w:rPr>
          <w:rFonts w:ascii="Times New Roman" w:hAnsi="Times New Roman" w:eastAsia="Times New Roman" w:cs="Times New Roman"/>
          <w:b w:val="0"/>
          <w:sz w:val="20"/>
        </w:rPr>
        <w:t>The study separates historical model development from live-event monitoring. Historical EM-DAT records are filtered, assigned chronological partitions, and labeled using thresholds computed exclusively from training records. For each target, rows lacking that target are excluded separately from training and validation. The model pipeline fits imputation and encoding on training rows and predicts validation rows only.</w:t>
      </w:r>
    </w:p>
    <w:p>
      <w:pPr>
        <w:jc w:val="both"/>
      </w:pPr>
      <w:r>
        <w:rPr>
          <w:rFonts w:ascii="Times New Roman" w:hAnsi="Times New Roman" w:eastAsia="Times New Roman" w:cs="Times New Roman"/>
          <w:b w:val="0"/>
          <w:sz w:val="20"/>
        </w:rPr>
        <w:t xml:space="preserve">The original Random Forest is compared with a </w:t>
      </w:r>
      <w:r>
        <w:rPr>
          <w:rFonts w:ascii="Times New Roman" w:hAnsi="Times New Roman" w:eastAsia="Times New Roman" w:cs="Times New Roman"/>
          <w:b w:val="0"/>
          <w:sz w:val="20"/>
        </w:rPr>
        <w:t>DummyClassifier(strategy="most_frequent")</w:t>
      </w:r>
      <w:r>
        <w:rPr>
          <w:rFonts w:ascii="Times New Roman" w:hAnsi="Times New Roman" w:eastAsia="Times New Roman" w:cs="Times New Roman"/>
          <w:b w:val="0"/>
          <w:sz w:val="20"/>
        </w:rPr>
        <w:t>. Three additional experiments vary one forest parameter at a time. The nine input features, preprocessing, target construction, and temporal partitions remain unchanged. Accuracy, macro F1, weighted F1, per-class recall, and confusion matrices provide complementary views of performance. Macro F1 gives equal weight to classes, while weighted F1 incorporates class support. High-class recall is reported explicitly because aggregate metrics can conceal missed high-impact records.</w:t>
      </w:r>
    </w:p>
    <w:p>
      <w:pPr>
        <w:jc w:val="both"/>
      </w:pPr>
      <w:r>
        <w:rPr>
          <w:rFonts w:ascii="Times New Roman" w:hAnsi="Times New Roman" w:eastAsia="Times New Roman" w:cs="Times New Roman"/>
          <w:b w:val="0"/>
          <w:sz w:val="20"/>
        </w:rPr>
        <w:t>No test predictions or test metrics are produced. The 2023–2025 test split is still untouched by training, model comparison, and evaluation; final test metrics are pending. Its assignment during preprocessing does not constitute predictive test evaluation.</w:t>
      </w:r>
    </w:p>
    <w:p>
      <w:pPr>
        <w:pStyle w:val="Heading2"/>
      </w:pPr>
      <w:r>
        <w:rPr>
          <w:rFonts w:ascii="Times New Roman" w:hAnsi="Times New Roman" w:eastAsia="Times New Roman" w:cs="Times New Roman"/>
          <w:i/>
        </w:rPr>
        <w:t>A. Evidence Basis</w:t>
      </w:r>
    </w:p>
    <w:p>
      <w:pPr>
        <w:jc w:val="both"/>
      </w:pPr>
      <w:r>
        <w:rPr>
          <w:rFonts w:ascii="Times New Roman" w:hAnsi="Times New Roman" w:eastAsia="Times New Roman" w:cs="Times New Roman"/>
          <w:b w:val="0"/>
          <w:sz w:val="20"/>
        </w:rPr>
        <w:t xml:space="preserve">The evidence comprises the project files at repository revision </w:t>
      </w:r>
      <w:r>
        <w:rPr>
          <w:rFonts w:ascii="Times New Roman" w:hAnsi="Times New Roman" w:eastAsia="Times New Roman" w:cs="Times New Roman"/>
          <w:b w:val="0"/>
          <w:sz w:val="20"/>
        </w:rPr>
        <w:t>e00f96ee488b2fbdeaa1cd0206f0846f8906db9f</w:t>
      </w:r>
      <w:r>
        <w:rPr>
          <w:rFonts w:ascii="Times New Roman" w:hAnsi="Times New Roman" w:eastAsia="Times New Roman" w:cs="Times New Roman"/>
          <w:b w:val="0"/>
          <w:sz w:val="20"/>
        </w:rPr>
        <w:t xml:space="preserve">, the saved preprocessing report, and the literature-review record and comparison matrix under </w:t>
      </w:r>
      <w:r>
        <w:rPr>
          <w:rFonts w:ascii="Times New Roman" w:hAnsi="Times New Roman" w:eastAsia="Times New Roman" w:cs="Times New Roman"/>
          <w:b w:val="0"/>
          <w:sz w:val="20"/>
        </w:rPr>
        <w:t>docs/</w:t>
      </w:r>
      <w:r>
        <w:rPr>
          <w:rFonts w:ascii="Times New Roman" w:hAnsi="Times New Roman" w:eastAsia="Times New Roman" w:cs="Times New Roman"/>
          <w:b w:val="0"/>
          <w:sz w:val="20"/>
        </w:rPr>
        <w:t xml:space="preserve">. The four validation JSON files and </w:t>
      </w:r>
      <w:r>
        <w:rPr>
          <w:rFonts w:ascii="Times New Roman" w:hAnsi="Times New Roman" w:eastAsia="Times New Roman" w:cs="Times New Roman"/>
          <w:b w:val="0"/>
          <w:sz w:val="20"/>
        </w:rPr>
        <w:t>ml/training/train_models.py</w:t>
      </w:r>
      <w:r>
        <w:rPr>
          <w:rFonts w:ascii="Times New Roman" w:hAnsi="Times New Roman" w:eastAsia="Times New Roman" w:cs="Times New Roman"/>
          <w:b w:val="0"/>
          <w:sz w:val="20"/>
        </w:rPr>
        <w:t xml:space="preserve"> were read directly from the checkout for this revision. Literature descriptions appear in Section II; project results appear in Section VII and are attributed to repository artifacts rather than external papers. No training, inference, or test-record analysis was executed during revision.</w:t>
      </w:r>
    </w:p>
    <w:p>
      <w:pPr>
        <w:jc w:val="both"/>
      </w:pPr>
      <w:r>
        <w:rPr>
          <w:rFonts w:ascii="Times New Roman" w:hAnsi="Times New Roman" w:eastAsia="Times New Roman" w:cs="Times New Roman"/>
          <w:b w:val="0"/>
          <w:sz w:val="20"/>
        </w:rPr>
        <w:t xml:space="preserve">Dataset descriptions are supported by </w:t>
      </w:r>
      <w:r>
        <w:rPr>
          <w:rFonts w:ascii="Times New Roman" w:hAnsi="Times New Roman" w:eastAsia="Times New Roman" w:cs="Times New Roman"/>
          <w:b w:val="0"/>
          <w:sz w:val="20"/>
        </w:rPr>
        <w:t>docs/emdat_feature_report.txt</w:t>
      </w:r>
      <w:r>
        <w:rPr>
          <w:rFonts w:ascii="Times New Roman" w:hAnsi="Times New Roman" w:eastAsia="Times New Roman" w:cs="Times New Roman"/>
          <w:b w:val="0"/>
          <w:sz w:val="20"/>
        </w:rPr>
        <w:t xml:space="preserve"> and </w:t>
      </w:r>
      <w:r>
        <w:rPr>
          <w:rFonts w:ascii="Times New Roman" w:hAnsi="Times New Roman" w:eastAsia="Times New Roman" w:cs="Times New Roman"/>
          <w:b w:val="0"/>
          <w:sz w:val="20"/>
        </w:rPr>
        <w:t>ml/preprocessing/build_training_dataset.py</w:t>
      </w:r>
      <w:r>
        <w:rPr>
          <w:rFonts w:ascii="Times New Roman" w:hAnsi="Times New Roman" w:eastAsia="Times New Roman" w:cs="Times New Roman"/>
          <w:b w:val="0"/>
          <w:sz w:val="20"/>
        </w:rPr>
        <w:t xml:space="preserve">. Model definitions and experiment protocols are supported by </w:t>
      </w:r>
      <w:r>
        <w:rPr>
          <w:rFonts w:ascii="Times New Roman" w:hAnsi="Times New Roman" w:eastAsia="Times New Roman" w:cs="Times New Roman"/>
          <w:b w:val="0"/>
          <w:sz w:val="20"/>
        </w:rPr>
        <w:t>ml/training/train_models.py</w:t>
      </w:r>
      <w:r>
        <w:rPr>
          <w:rFonts w:ascii="Times New Roman" w:hAnsi="Times New Roman" w:eastAsia="Times New Roman" w:cs="Times New Roman"/>
          <w:b w:val="0"/>
          <w:sz w:val="20"/>
        </w:rPr>
        <w:t>. Numerical results are supported by:</w:t>
      </w:r>
    </w:p>
    <w:p>
      <w:pPr>
        <w:ind w:firstLine="0"/>
        <w:jc w:val="both"/>
      </w:pPr>
      <w:r>
        <w:rPr>
          <w:rFonts w:ascii="Times New Roman" w:hAnsi="Times New Roman" w:eastAsia="Times New Roman" w:cs="Times New Roman"/>
          <w:b w:val="0"/>
          <w:sz w:val="18"/>
        </w:rPr>
        <w:t xml:space="preserve">• </w:t>
      </w:r>
      <w:r>
        <w:rPr>
          <w:rFonts w:ascii="Times New Roman" w:hAnsi="Times New Roman" w:eastAsia="Times New Roman" w:cs="Times New Roman"/>
          <w:b w:val="0"/>
          <w:sz w:val="18"/>
        </w:rPr>
        <w:t>docs/model_evaluation/validation_metrics.json</w:t>
      </w:r>
    </w:p>
    <w:p>
      <w:pPr>
        <w:ind w:firstLine="0"/>
        <w:jc w:val="both"/>
      </w:pPr>
      <w:r>
        <w:rPr>
          <w:rFonts w:ascii="Times New Roman" w:hAnsi="Times New Roman" w:eastAsia="Times New Roman" w:cs="Times New Roman"/>
          <w:b w:val="0"/>
          <w:sz w:val="18"/>
        </w:rPr>
        <w:t xml:space="preserve">• </w:t>
      </w:r>
      <w:r>
        <w:rPr>
          <w:rFonts w:ascii="Times New Roman" w:hAnsi="Times New Roman" w:eastAsia="Times New Roman" w:cs="Times New Roman"/>
          <w:b w:val="0"/>
          <w:sz w:val="18"/>
        </w:rPr>
        <w:t>docs/model_evaluation/min_samples_leaf_comparison.json</w:t>
      </w:r>
    </w:p>
    <w:p>
      <w:pPr>
        <w:ind w:firstLine="0"/>
        <w:jc w:val="both"/>
      </w:pPr>
      <w:r>
        <w:rPr>
          <w:rFonts w:ascii="Times New Roman" w:hAnsi="Times New Roman" w:eastAsia="Times New Roman" w:cs="Times New Roman"/>
          <w:b w:val="0"/>
          <w:sz w:val="18"/>
        </w:rPr>
        <w:t xml:space="preserve">• </w:t>
      </w:r>
      <w:r>
        <w:rPr>
          <w:rFonts w:ascii="Times New Roman" w:hAnsi="Times New Roman" w:eastAsia="Times New Roman" w:cs="Times New Roman"/>
          <w:b w:val="0"/>
          <w:sz w:val="18"/>
        </w:rPr>
        <w:t>docs/model_evaluation/max_depth_comparison.json</w:t>
      </w:r>
    </w:p>
    <w:p>
      <w:pPr>
        <w:ind w:firstLine="0"/>
        <w:jc w:val="both"/>
      </w:pPr>
      <w:r>
        <w:rPr>
          <w:rFonts w:ascii="Times New Roman" w:hAnsi="Times New Roman" w:eastAsia="Times New Roman" w:cs="Times New Roman"/>
          <w:b w:val="0"/>
          <w:sz w:val="18"/>
        </w:rPr>
        <w:t xml:space="preserve">• </w:t>
      </w:r>
      <w:r>
        <w:rPr>
          <w:rFonts w:ascii="Times New Roman" w:hAnsi="Times New Roman" w:eastAsia="Times New Roman" w:cs="Times New Roman"/>
          <w:b w:val="0"/>
          <w:sz w:val="18"/>
        </w:rPr>
        <w:t>docs/model_evaluation/class_weight_comparison.json</w:t>
      </w:r>
    </w:p>
    <w:p>
      <w:pPr>
        <w:jc w:val="both"/>
      </w:pPr>
      <w:r>
        <w:rPr>
          <w:rFonts w:ascii="Times New Roman" w:hAnsi="Times New Roman" w:eastAsia="Times New Roman" w:cs="Times New Roman"/>
          <w:b w:val="0"/>
          <w:sz w:val="20"/>
        </w:rPr>
        <w:t>Saved sample counts, accuracies, class recalls, and F1 values were checked for consistency with the confusion matrices. Scores are rounded to four decimal places and percentages to two in the manuscript; the source JSON retains full precision. These checks establish artifact consistency, not independent reproduction from the raw dataset.</w:t>
      </w:r>
    </w:p>
    <w:p>
      <w:pPr>
        <w:pStyle w:val="Heading1"/>
        <w:jc w:val="center"/>
      </w:pPr>
      <w:r>
        <w:rPr>
          <w:rFonts w:ascii="Times New Roman" w:hAnsi="Times New Roman" w:eastAsia="Times New Roman" w:cs="Times New Roman"/>
          <w:smallCaps/>
        </w:rPr>
        <w:t>IV. SYSTEM ARCHITECTURE</w:t>
      </w:r>
    </w:p>
    <w:p>
      <w:pPr>
        <w:jc w:val="both"/>
      </w:pPr>
      <w:r>
        <w:rPr>
          <w:rFonts w:ascii="Times New Roman" w:hAnsi="Times New Roman" w:eastAsia="Times New Roman" w:cs="Times New Roman"/>
          <w:b w:val="0"/>
          <w:sz w:val="20"/>
        </w:rPr>
        <w:t xml:space="preserve">The implemented monitoring architecture comprises a GDACS ingestion module, a FastAPI backend, SQLAlchemy database access with a default SQLite database, and a React/Leaflet frontend. The ingestion module fetches the GDACS seven-day RSS feed at </w:t>
      </w:r>
      <w:r>
        <w:rPr>
          <w:rFonts w:ascii="Times New Roman" w:hAnsi="Times New Roman" w:eastAsia="Times New Roman" w:cs="Times New Roman"/>
          <w:b w:val="0"/>
          <w:sz w:val="20"/>
        </w:rPr>
        <w:t>https://www.gdacs.org/xml/rss_7d.xml</w:t>
      </w:r>
      <w:r>
        <w:rPr>
          <w:rFonts w:ascii="Times New Roman" w:hAnsi="Times New Roman" w:eastAsia="Times New Roman" w:cs="Times New Roman"/>
          <w:b w:val="0"/>
          <w:sz w:val="20"/>
        </w:rPr>
        <w:t xml:space="preserve"> and parses event identifiers, hazard labels, country, coordinates, event time, source links, and raw payloads.</w:t>
      </w:r>
    </w:p>
    <w:p>
      <w:pPr>
        <w:jc w:val="both"/>
      </w:pPr>
      <w:r>
        <w:rPr>
          <w:rFonts w:ascii="Times New Roman" w:hAnsi="Times New Roman" w:eastAsia="Times New Roman" w:cs="Times New Roman"/>
          <w:b w:val="0"/>
          <w:sz w:val="20"/>
        </w:rPr>
        <w:t xml:space="preserve">The backend implements </w:t>
      </w:r>
      <w:r>
        <w:rPr>
          <w:rFonts w:ascii="Times New Roman" w:hAnsi="Times New Roman" w:eastAsia="Times New Roman" w:cs="Times New Roman"/>
          <w:b w:val="0"/>
          <w:sz w:val="20"/>
        </w:rPr>
        <w:t>POST /sync-live-events</w:t>
      </w:r>
      <w:r>
        <w:rPr>
          <w:rFonts w:ascii="Times New Roman" w:hAnsi="Times New Roman" w:eastAsia="Times New Roman" w:cs="Times New Roman"/>
          <w:b w:val="0"/>
          <w:sz w:val="20"/>
        </w:rPr>
        <w:t xml:space="preserve"> for synchronization, </w:t>
      </w:r>
      <w:r>
        <w:rPr>
          <w:rFonts w:ascii="Times New Roman" w:hAnsi="Times New Roman" w:eastAsia="Times New Roman" w:cs="Times New Roman"/>
          <w:b w:val="0"/>
          <w:sz w:val="20"/>
        </w:rPr>
        <w:t>GET /events</w:t>
      </w:r>
      <w:r>
        <w:rPr>
          <w:rFonts w:ascii="Times New Roman" w:hAnsi="Times New Roman" w:eastAsia="Times New Roman" w:cs="Times New Roman"/>
          <w:b w:val="0"/>
          <w:sz w:val="20"/>
        </w:rPr>
        <w:t xml:space="preserve"> for paginated listing with hazard and country filters, </w:t>
      </w:r>
      <w:r>
        <w:rPr>
          <w:rFonts w:ascii="Times New Roman" w:hAnsi="Times New Roman" w:eastAsia="Times New Roman" w:cs="Times New Roman"/>
          <w:b w:val="0"/>
          <w:sz w:val="20"/>
        </w:rPr>
        <w:t>GET /events/{event_id}</w:t>
      </w:r>
      <w:r>
        <w:rPr>
          <w:rFonts w:ascii="Times New Roman" w:hAnsi="Times New Roman" w:eastAsia="Times New Roman" w:cs="Times New Roman"/>
          <w:b w:val="0"/>
          <w:sz w:val="20"/>
        </w:rPr>
        <w:t xml:space="preserve"> for event detail, and </w:t>
      </w:r>
      <w:r>
        <w:rPr>
          <w:rFonts w:ascii="Times New Roman" w:hAnsi="Times New Roman" w:eastAsia="Times New Roman" w:cs="Times New Roman"/>
          <w:b w:val="0"/>
          <w:sz w:val="20"/>
        </w:rPr>
        <w:t>GET /health</w:t>
      </w:r>
      <w:r>
        <w:rPr>
          <w:rFonts w:ascii="Times New Roman" w:hAnsi="Times New Roman" w:eastAsia="Times New Roman" w:cs="Times New Roman"/>
          <w:b w:val="0"/>
          <w:sz w:val="20"/>
        </w:rPr>
        <w:t xml:space="preserve"> for service health. Synchronization identifies existing records by source and source-event identifier, refreshes mutable event fields, and records synchronization logs. The frontend requests events and synchronization results and displays reported events on a map.</w:t>
      </w:r>
    </w:p>
    <w:p>
      <w:pPr>
        <w:keepNext/>
        <w:spacing w:before="100" w:after="60"/>
        <w:ind w:firstLine="0"/>
        <w:jc w:val="center"/>
      </w:pPr>
      <w:r>
        <w:rPr>
          <w:rFonts w:ascii="Times New Roman" w:hAnsi="Times New Roman" w:eastAsia="Times New Roman" w:cs="Times New Roman"/>
          <w:b w:val="0"/>
          <w:sz w:val="16"/>
        </w:rPr>
        <w:t>FIG. 1. IMPLEMENTED PATHS AND PENDING INFERENCE CONNECTION</w:t>
      </w:r>
    </w:p>
    <w:p>
      <w:pPr>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3236400" cy="23313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3236400" cy="2331305"/>
                    </a:xfrm>
                    <a:prstGeom prst="rect"/>
                  </pic:spPr>
                </pic:pic>
              </a:graphicData>
            </a:graphic>
          </wp:inline>
        </w:drawing>
      </w:r>
    </w:p>
    <w:p>
      <w:pPr>
        <w:jc w:val="both"/>
      </w:pPr>
      <w:r>
        <w:rPr>
          <w:rFonts w:ascii="Times New Roman" w:hAnsi="Times New Roman" w:eastAsia="Times New Roman" w:cs="Times New Roman"/>
          <w:b w:val="0"/>
          <w:sz w:val="20"/>
        </w:rPr>
        <w:t>Database definitions include prediction and model-metadata tables, but these structures alone do not establish a functioning inference service. The inspected event routes and frontend do not complete the connection from live events to the trained models. Live ML prediction integration is therefore incomplete.</w:t>
      </w:r>
    </w:p>
    <w:p>
      <w:pPr>
        <w:jc w:val="both"/>
      </w:pPr>
      <w:r>
        <w:rPr>
          <w:rFonts w:ascii="Times New Roman" w:hAnsi="Times New Roman" w:eastAsia="Times New Roman" w:cs="Times New Roman"/>
          <w:b w:val="0"/>
          <w:sz w:val="20"/>
        </w:rPr>
        <w:t>The prototype is intended for human-reviewed decision support; its operational decision value has not yet been evaluated. It is not an official warning service, a dispatch system, or a substitute for expert judgment and authoritative disaster-management information. No measured end-to-end prediction latency, operational warning performance, or dispatch outcome is claimed.</w:t>
      </w:r>
    </w:p>
    <w:p>
      <w:pPr>
        <w:pStyle w:val="Heading1"/>
        <w:jc w:val="center"/>
      </w:pPr>
      <w:r>
        <w:rPr>
          <w:rFonts w:ascii="Times New Roman" w:hAnsi="Times New Roman" w:eastAsia="Times New Roman" w:cs="Times New Roman"/>
          <w:smallCaps/>
        </w:rPr>
        <w:t>V. DATASET AND PREPROCESSING</w:t>
      </w:r>
    </w:p>
    <w:p>
      <w:pPr>
        <w:pStyle w:val="Heading2"/>
      </w:pPr>
      <w:r>
        <w:rPr>
          <w:rFonts w:ascii="Times New Roman" w:hAnsi="Times New Roman" w:eastAsia="Times New Roman" w:cs="Times New Roman"/>
          <w:i/>
        </w:rPr>
        <w:t>A. Historical Dataset and Temporal Partitions</w:t>
      </w:r>
    </w:p>
    <w:p>
      <w:pPr>
        <w:jc w:val="both"/>
      </w:pPr>
      <w:r>
        <w:rPr>
          <w:rFonts w:ascii="Times New Roman" w:hAnsi="Times New Roman" w:eastAsia="Times New Roman" w:cs="Times New Roman"/>
          <w:b w:val="0"/>
          <w:sz w:val="20"/>
        </w:rPr>
        <w:t xml:space="preserve">The preprocessing report identifies the expected EM-DAT input as </w:t>
      </w:r>
      <w:r>
        <w:rPr>
          <w:rFonts w:ascii="Times New Roman" w:hAnsi="Times New Roman" w:eastAsia="Times New Roman" w:cs="Times New Roman"/>
          <w:b w:val="0"/>
          <w:sz w:val="20"/>
        </w:rPr>
        <w:t>public_emdat_2026-09-09.xlsx</w:t>
      </w:r>
      <w:r>
        <w:rPr>
          <w:rFonts w:ascii="Times New Roman" w:hAnsi="Times New Roman" w:eastAsia="Times New Roman" w:cs="Times New Roman"/>
          <w:b w:val="0"/>
          <w:sz w:val="20"/>
        </w:rPr>
        <w:t xml:space="preserve">, with 17,022 rows loaded from the </w:t>
      </w:r>
      <w:r>
        <w:rPr>
          <w:rFonts w:ascii="Times New Roman" w:hAnsi="Times New Roman" w:eastAsia="Times New Roman" w:cs="Times New Roman"/>
          <w:b w:val="0"/>
          <w:sz w:val="20"/>
        </w:rPr>
        <w:t>EM-DAT Data</w:t>
      </w:r>
      <w:r>
        <w:rPr>
          <w:rFonts w:ascii="Times New Roman" w:hAnsi="Times New Roman" w:eastAsia="Times New Roman" w:cs="Times New Roman"/>
          <w:b w:val="0"/>
          <w:sz w:val="20"/>
        </w:rPr>
        <w:t xml:space="preserve"> sheet. It reports 10,875 natural-disaster records, 8,909 records after supported-type filtering, and 8,774 records after restricting the period to 2000–2025. These are recorded report values; the original export was not independently inspected in the current cloud environment. The filename is not treated as proof of acquisition date or database version.</w:t>
      </w:r>
    </w:p>
    <w:p>
      <w:pPr>
        <w:jc w:val="both"/>
      </w:pPr>
      <w:r>
        <w:rPr>
          <w:rFonts w:ascii="Times New Roman" w:hAnsi="Times New Roman" w:eastAsia="Times New Roman" w:cs="Times New Roman"/>
          <w:b w:val="0"/>
          <w:sz w:val="20"/>
        </w:rPr>
        <w:t>EM-DAT provenance is described by Delforge et al. [10], with detailed article claims restricted to the abstract reviewed. The project's country-event records need not correspond one-to-one with unique underlying disasters. The retained hazard categories are Earthquake, Flood, Landslide, Storm, Volcanic activity, and Wildfire. Wet and dry mass movements are normalized to Landslide. The incomplete year 2026 is excluded.</w:t>
      </w:r>
    </w:p>
    <w:p>
      <w:pPr>
        <w:keepNext/>
        <w:spacing w:before="100" w:after="60"/>
        <w:ind w:firstLine="0"/>
        <w:jc w:val="center"/>
      </w:pPr>
      <w:r>
        <w:rPr>
          <w:rFonts w:ascii="Times New Roman" w:hAnsi="Times New Roman" w:eastAsia="Times New Roman" w:cs="Times New Roman"/>
          <w:b w:val="0"/>
          <w:sz w:val="16"/>
        </w:rPr>
        <w:t>TABLE I. CHRONOLOGICAL PARTITIONS BEFORE TARGET-SPECIFIC EXCLUSIONS</w:t>
      </w:r>
    </w:p>
    <w:tbl>
      <w:tblPr>
        <w:tblStyle w:val="TableGrid"/>
        <w:tblW w:type="auto" w:w="0"/>
        <w:tblLayout w:type="fixed"/>
        <w:tblLook w:firstColumn="1" w:firstRow="1" w:lastColumn="0" w:lastRow="0" w:noHBand="0" w:noVBand="1" w:val="04A0"/>
      </w:tblPr>
      <w:tblGrid>
        <w:gridCol w:w="1699"/>
        <w:gridCol w:w="1699"/>
        <w:gridCol w:w="1699"/>
      </w:tblGrid>
      <w:tr>
        <w:trPr>
          <w:cantSplit/>
          <w:tblHeader/>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Partition</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Years</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Records</w:t>
            </w:r>
          </w:p>
        </w:tc>
      </w:tr>
      <w:tr>
        <w:trPr>
          <w:cantSplit/>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Training</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2000–2019</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6,528</w:t>
            </w:r>
          </w:p>
        </w:tc>
      </w:tr>
      <w:tr>
        <w:trPr>
          <w:cantSplit/>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Validation</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2020–2022</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1,145</w:t>
            </w:r>
          </w:p>
        </w:tc>
      </w:tr>
      <w:tr>
        <w:trPr>
          <w:cantSplit/>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Reserved test; not evaluated</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2023–2025</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1,101</w:t>
            </w:r>
          </w:p>
        </w:tc>
      </w:tr>
      <w:tr>
        <w:trPr>
          <w:cantSplit/>
        </w:trPr>
        <w:tc>
          <w:tcPr>
            <w:tcW w:type="dxa" w:w="1699"/>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Total</w:t>
            </w:r>
          </w:p>
        </w:tc>
        <w:tc>
          <w:tcPr>
            <w:tcW w:type="dxa" w:w="1699"/>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2000–2025</w:t>
            </w:r>
          </w:p>
        </w:tc>
        <w:tc>
          <w:tcPr>
            <w:tcW w:type="dxa" w:w="1699"/>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8,774</w:t>
            </w:r>
          </w:p>
        </w:tc>
      </w:tr>
    </w:tbl>
    <w:p>
      <w:pPr>
        <w:pStyle w:val="Heading2"/>
      </w:pPr>
      <w:r>
        <w:rPr>
          <w:rFonts w:ascii="Times New Roman" w:hAnsi="Times New Roman" w:eastAsia="Times New Roman" w:cs="Times New Roman"/>
          <w:i/>
        </w:rPr>
        <w:t>B. Affected-Range Label</w:t>
      </w:r>
    </w:p>
    <w:p>
      <w:pPr>
        <w:jc w:val="both"/>
      </w:pPr>
      <w:r>
        <w:rPr>
          <w:rFonts w:ascii="Times New Roman" w:hAnsi="Times New Roman" w:eastAsia="Times New Roman" w:cs="Times New Roman"/>
          <w:b w:val="0"/>
          <w:sz w:val="20"/>
        </w:rPr>
        <w:t>affected_range</w:t>
      </w:r>
      <w:r>
        <w:rPr>
          <w:rFonts w:ascii="Times New Roman" w:hAnsi="Times New Roman" w:eastAsia="Times New Roman" w:cs="Times New Roman"/>
          <w:b w:val="0"/>
          <w:sz w:val="20"/>
        </w:rPr>
        <w:t xml:space="preserve"> denotes an affected-population count category, not a geographical radius. Let A be Total Affected and q25 and q75 be its training-period 25th and 75th percentiles. Low is assigned when A ≤ q25, medium when q25 &lt; A ≤ q75, and high when A &gt; q75. The report gives q25 = 800.0 and q75 = 48,723.2, with the latter displayed to one decimal place.</w:t>
      </w:r>
    </w:p>
    <w:p>
      <w:pPr>
        <w:jc w:val="both"/>
      </w:pPr>
      <w:r>
        <w:rPr>
          <w:rFonts w:ascii="Times New Roman" w:hAnsi="Times New Roman" w:eastAsia="Times New Roman" w:cs="Times New Roman"/>
          <w:b w:val="0"/>
          <w:sz w:val="20"/>
        </w:rPr>
        <w:t>Missing Total Affected is treated as unknown, not zero. Across all partitions, 7,354 records have an affected-range label. The model uses 5,432 labeled training records and 979 labeled validation records.</w:t>
      </w:r>
    </w:p>
    <w:p>
      <w:pPr>
        <w:pStyle w:val="Heading2"/>
      </w:pPr>
      <w:r>
        <w:rPr>
          <w:rFonts w:ascii="Times New Roman" w:hAnsi="Times New Roman" w:eastAsia="Times New Roman" w:cs="Times New Roman"/>
          <w:i/>
        </w:rPr>
        <w:t>C. Impact-Priority Label</w:t>
      </w:r>
    </w:p>
    <w:p>
      <w:pPr>
        <w:jc w:val="both"/>
      </w:pPr>
      <w:r>
        <w:rPr>
          <w:rFonts w:ascii="Times New Roman" w:hAnsi="Times New Roman" w:eastAsia="Times New Roman" w:cs="Times New Roman"/>
          <w:b w:val="0"/>
          <w:sz w:val="20"/>
        </w:rPr>
        <w:t>impact_priority</w:t>
      </w:r>
      <w:r>
        <w:rPr>
          <w:rFonts w:ascii="Times New Roman" w:hAnsi="Times New Roman" w:eastAsia="Times New Roman" w:cs="Times New Roman"/>
          <w:b w:val="0"/>
          <w:sz w:val="20"/>
        </w:rPr>
        <w:t xml:space="preserve"> requires both Total Deaths and Total Affected. For each hazard category, thresholds are computed from training records with non-missing Total Deaths and Total Affected. An event receives high priority if either outcome exceeds its respective category-specific 75th percentile. Otherwise, it receives medium priority if either exceeds its category-specific median, and low priority if neither does.</w:t>
      </w:r>
    </w:p>
    <w:p>
      <w:pPr>
        <w:jc w:val="both"/>
      </w:pPr>
      <w:r>
        <w:rPr>
          <w:rFonts w:ascii="Times New Roman" w:hAnsi="Times New Roman" w:eastAsia="Times New Roman" w:cs="Times New Roman"/>
          <w:b w:val="0"/>
          <w:sz w:val="20"/>
        </w:rPr>
        <w:t>A category requires at least 30 complete training records to define these thresholds. Volcanic activity has 17 and is skipped for this target. Thus, the overall dataset contains six categories, but the priority classifier does not cover all six. The report records 5,320 priority-labeled records across partitions, including 3,961 training and 681 validation records. The label is a relative historical impact proxy, not an official or expert-validated response-priority classification.</w:t>
      </w:r>
    </w:p>
    <w:p>
      <w:pPr>
        <w:pStyle w:val="Heading2"/>
      </w:pPr>
      <w:r>
        <w:rPr>
          <w:rFonts w:ascii="Times New Roman" w:hAnsi="Times New Roman" w:eastAsia="Times New Roman" w:cs="Times New Roman"/>
          <w:i/>
        </w:rPr>
        <w:t>D. Fixed Features and Missing Values</w:t>
      </w:r>
    </w:p>
    <w:p>
      <w:pPr>
        <w:jc w:val="both"/>
      </w:pPr>
      <w:r>
        <w:rPr>
          <w:rFonts w:ascii="Times New Roman" w:hAnsi="Times New Roman" w:eastAsia="Times New Roman" w:cs="Times New Roman"/>
          <w:b w:val="0"/>
          <w:sz w:val="20"/>
        </w:rPr>
        <w:t>The exact nine input features are:</w:t>
      </w:r>
    </w:p>
    <w:p>
      <w:pPr>
        <w:keepNext/>
        <w:spacing w:before="100" w:after="60"/>
        <w:ind w:firstLine="0"/>
        <w:jc w:val="center"/>
      </w:pPr>
      <w:r>
        <w:rPr>
          <w:rFonts w:ascii="Times New Roman" w:hAnsi="Times New Roman" w:eastAsia="Times New Roman" w:cs="Times New Roman"/>
          <w:b w:val="0"/>
          <w:sz w:val="16"/>
        </w:rPr>
        <w:t>TABLE II. FIXED INPUT FEATURES</w:t>
      </w:r>
    </w:p>
    <w:tbl>
      <w:tblPr>
        <w:tblStyle w:val="TableGrid"/>
        <w:tblW w:type="auto" w:w="0"/>
        <w:tblLayout w:type="fixed"/>
        <w:tblLook w:firstColumn="1" w:firstRow="1" w:lastColumn="0" w:lastRow="0" w:noHBand="0" w:noVBand="1" w:val="04A0"/>
      </w:tblPr>
      <w:tblGrid>
        <w:gridCol w:w="1274"/>
        <w:gridCol w:w="3823"/>
      </w:tblGrid>
      <w:tr>
        <w:trPr>
          <w:cantSplit/>
          <w:tblHeader/>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Feature group</w:t>
            </w:r>
          </w:p>
        </w:tc>
        <w:tc>
          <w:tcPr>
            <w:tcW w:type="dxa" w:w="3823"/>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Columns</w:t>
            </w:r>
          </w:p>
        </w:tc>
      </w:tr>
      <w:tr>
        <w:trPr>
          <w:cantSplit/>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Categorical</w:t>
            </w:r>
          </w:p>
        </w:tc>
        <w:tc>
          <w:tcPr>
            <w:tcW w:type="dxa" w:w="3823"/>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disaster_type, disaster_subtype, iso, region, subregion, season</w:t>
            </w:r>
          </w:p>
        </w:tc>
      </w:tr>
      <w:tr>
        <w:trPr>
          <w:cantSplit/>
        </w:trPr>
        <w:tc>
          <w:tcPr>
            <w:tcW w:type="dxa" w:w="1274"/>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Numeric</w:t>
            </w:r>
          </w:p>
        </w:tc>
        <w:tc>
          <w:tcPr>
            <w:tcW w:type="dxa" w:w="3823"/>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start_month, magnitude, magnitude_available</w:t>
            </w:r>
          </w:p>
        </w:tc>
      </w:tr>
    </w:tbl>
    <w:p>
      <w:pPr>
        <w:jc w:val="both"/>
      </w:pPr>
      <w:r>
        <w:rPr>
          <w:rFonts w:ascii="Times New Roman" w:hAnsi="Times New Roman" w:eastAsia="Times New Roman" w:cs="Times New Roman"/>
          <w:b w:val="0"/>
          <w:sz w:val="20"/>
        </w:rPr>
        <w:t>Season uses calendar groupings DJF, MAM, JJA, and SON; these labels do not encode local climate seasons. Country, region, and subregion identify location rather than independently measured exposure or social vulnerability. Magnitude missingness is preserved during dataset construction, and the availability indicator records whether the original magnitude is present. The report records 5,705 missing magnitude values, or 65.0% of retained records.</w:t>
      </w:r>
    </w:p>
    <w:p>
      <w:pPr>
        <w:jc w:val="both"/>
      </w:pPr>
      <w:r>
        <w:rPr>
          <w:rFonts w:ascii="Times New Roman" w:hAnsi="Times New Roman" w:eastAsia="Times New Roman" w:cs="Times New Roman"/>
          <w:b w:val="0"/>
          <w:sz w:val="20"/>
        </w:rPr>
        <w:t>Within each training pipeline, categorical features use most-frequent imputation followed by one-hot encoding with unknown categories ignored. Numeric features use median imputation. Magnitude is therefore retained as missing during dataset construction and imputed during model fitting. Outcome columns are used only for label creation and are excluded from the nine predictors. This separation and training-only preprocessing follow leakage-control principles discussed by Kapoor and Narayanan [15]. Thresholds and fitted preprocessing statistics derive from training records, reducing direct outcome and later-period preprocessing leakage. This does not establish that every historical feature is available at live prediction time.</w:t>
      </w:r>
    </w:p>
    <w:p>
      <w:pPr>
        <w:pStyle w:val="Heading1"/>
        <w:jc w:val="center"/>
      </w:pPr>
      <w:r>
        <w:rPr>
          <w:rFonts w:ascii="Times New Roman" w:hAnsi="Times New Roman" w:eastAsia="Times New Roman" w:cs="Times New Roman"/>
          <w:smallCaps/>
        </w:rPr>
        <w:t>VI. MODEL DEVELOPMENT</w:t>
      </w:r>
    </w:p>
    <w:p>
      <w:pPr>
        <w:jc w:val="both"/>
      </w:pPr>
      <w:r>
        <w:rPr>
          <w:rFonts w:ascii="Times New Roman" w:hAnsi="Times New Roman" w:eastAsia="Times New Roman" w:cs="Times New Roman"/>
          <w:b w:val="0"/>
          <w:sz w:val="20"/>
        </w:rPr>
        <w:t xml:space="preserve">The original configuration uses </w:t>
      </w:r>
      <w:r>
        <w:rPr>
          <w:rFonts w:ascii="Times New Roman" w:hAnsi="Times New Roman" w:eastAsia="Times New Roman" w:cs="Times New Roman"/>
          <w:b w:val="0"/>
          <w:sz w:val="20"/>
        </w:rPr>
        <w:t>RandomForestClassifier</w:t>
      </w:r>
      <w:r>
        <w:rPr>
          <w:rFonts w:ascii="Times New Roman" w:hAnsi="Times New Roman" w:eastAsia="Times New Roman" w:cs="Times New Roman"/>
          <w:b w:val="0"/>
          <w:sz w:val="20"/>
        </w:rPr>
        <w:t xml:space="preserve"> with </w:t>
      </w:r>
      <w:r>
        <w:rPr>
          <w:rFonts w:ascii="Times New Roman" w:hAnsi="Times New Roman" w:eastAsia="Times New Roman" w:cs="Times New Roman"/>
          <w:b w:val="0"/>
          <w:sz w:val="20"/>
        </w:rPr>
        <w:t>n_estimators=300</w:t>
      </w:r>
      <w:r>
        <w:rPr>
          <w:rFonts w:ascii="Times New Roman" w:hAnsi="Times New Roman" w:eastAsia="Times New Roman" w:cs="Times New Roman"/>
          <w:b w:val="0"/>
          <w:sz w:val="20"/>
        </w:rPr>
        <w:t xml:space="preserve">, </w:t>
      </w:r>
      <w:r>
        <w:rPr>
          <w:rFonts w:ascii="Times New Roman" w:hAnsi="Times New Roman" w:eastAsia="Times New Roman" w:cs="Times New Roman"/>
          <w:b w:val="0"/>
          <w:sz w:val="20"/>
        </w:rPr>
        <w:t>class_weight="balanced"</w:t>
      </w:r>
      <w:r>
        <w:rPr>
          <w:rFonts w:ascii="Times New Roman" w:hAnsi="Times New Roman" w:eastAsia="Times New Roman" w:cs="Times New Roman"/>
          <w:b w:val="0"/>
          <w:sz w:val="20"/>
        </w:rPr>
        <w:t xml:space="preserve">, </w:t>
      </w:r>
      <w:r>
        <w:rPr>
          <w:rFonts w:ascii="Times New Roman" w:hAnsi="Times New Roman" w:eastAsia="Times New Roman" w:cs="Times New Roman"/>
          <w:b w:val="0"/>
          <w:sz w:val="20"/>
        </w:rPr>
        <w:t>random_state=42</w:t>
      </w:r>
      <w:r>
        <w:rPr>
          <w:rFonts w:ascii="Times New Roman" w:hAnsi="Times New Roman" w:eastAsia="Times New Roman" w:cs="Times New Roman"/>
          <w:b w:val="0"/>
          <w:sz w:val="20"/>
        </w:rPr>
        <w:t xml:space="preserve">, and </w:t>
      </w:r>
      <w:r>
        <w:rPr>
          <w:rFonts w:ascii="Times New Roman" w:hAnsi="Times New Roman" w:eastAsia="Times New Roman" w:cs="Times New Roman"/>
          <w:b w:val="0"/>
          <w:sz w:val="20"/>
        </w:rPr>
        <w:t>n_jobs=-1</w:t>
      </w:r>
      <w:r>
        <w:rPr>
          <w:rFonts w:ascii="Times New Roman" w:hAnsi="Times New Roman" w:eastAsia="Times New Roman" w:cs="Times New Roman"/>
          <w:b w:val="0"/>
          <w:sz w:val="20"/>
        </w:rPr>
        <w:t xml:space="preserve">. The default </w:t>
      </w:r>
      <w:r>
        <w:rPr>
          <w:rFonts w:ascii="Times New Roman" w:hAnsi="Times New Roman" w:eastAsia="Times New Roman" w:cs="Times New Roman"/>
          <w:b w:val="0"/>
          <w:sz w:val="20"/>
        </w:rPr>
        <w:t>max_depth=None</w:t>
      </w:r>
      <w:r>
        <w:rPr>
          <w:rFonts w:ascii="Times New Roman" w:hAnsi="Times New Roman" w:eastAsia="Times New Roman" w:cs="Times New Roman"/>
          <w:b w:val="0"/>
          <w:sz w:val="20"/>
        </w:rPr>
        <w:t xml:space="preserve"> and </w:t>
      </w:r>
      <w:r>
        <w:rPr>
          <w:rFonts w:ascii="Times New Roman" w:hAnsi="Times New Roman" w:eastAsia="Times New Roman" w:cs="Times New Roman"/>
          <w:b w:val="0"/>
          <w:sz w:val="20"/>
        </w:rPr>
        <w:t>min_samples_leaf=1</w:t>
      </w:r>
      <w:r>
        <w:rPr>
          <w:rFonts w:ascii="Times New Roman" w:hAnsi="Times New Roman" w:eastAsia="Times New Roman" w:cs="Times New Roman"/>
          <w:b w:val="0"/>
          <w:sz w:val="20"/>
        </w:rPr>
        <w:t xml:space="preserve"> are retained. Separate pipelines are trained for the two targets, using the Random Forest ensemble framework [13] and scikit-learn estimator infrastructure [14].</w:t>
      </w:r>
    </w:p>
    <w:p>
      <w:pPr>
        <w:keepNext/>
        <w:spacing w:before="100" w:after="60"/>
        <w:ind w:firstLine="0"/>
        <w:jc w:val="center"/>
      </w:pPr>
      <w:r>
        <w:rPr>
          <w:rFonts w:ascii="Times New Roman" w:hAnsi="Times New Roman" w:eastAsia="Times New Roman" w:cs="Times New Roman"/>
          <w:b w:val="0"/>
          <w:sz w:val="16"/>
        </w:rPr>
        <w:t>TABLE III. VALIDATION-ONLY SINGLE-PARAMETER EXPERIMENTS</w:t>
      </w:r>
    </w:p>
    <w:tbl>
      <w:tblPr>
        <w:tblStyle w:val="TableGrid"/>
        <w:tblW w:type="auto" w:w="0"/>
        <w:tblLayout w:type="fixed"/>
        <w:tblLook w:firstColumn="1" w:firstRow="1" w:lastColumn="0" w:lastRow="0" w:noHBand="0" w:noVBand="1" w:val="04A0"/>
      </w:tblPr>
      <w:tblGrid>
        <w:gridCol w:w="1699"/>
        <w:gridCol w:w="1699"/>
        <w:gridCol w:w="1699"/>
      </w:tblGrid>
      <w:tr>
        <w:trPr>
          <w:cantSplit/>
          <w:tblHeader/>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Comparison</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Values compared</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Other settings</w:t>
            </w:r>
          </w:p>
        </w:tc>
      </w:tr>
      <w:tr>
        <w:trPr>
          <w:cantSplit/>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Minimum leaf size</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1, 5</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Original configuration</w:t>
            </w:r>
          </w:p>
        </w:tc>
      </w:tr>
      <w:tr>
        <w:trPr>
          <w:cantSplit/>
        </w:trPr>
        <w:tc>
          <w:tcPr>
            <w:tcW w:type="dxa" w:w="1699"/>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Maximum depth</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None, 10, 20</w:t>
            </w:r>
          </w:p>
        </w:tc>
        <w:tc>
          <w:tcPr>
            <w:tcW w:type="dxa" w:w="1699"/>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Original configuration; leaf size 1</w:t>
            </w:r>
          </w:p>
        </w:tc>
      </w:tr>
      <w:tr>
        <w:trPr>
          <w:cantSplit/>
        </w:trPr>
        <w:tc>
          <w:tcPr>
            <w:tcW w:type="dxa" w:w="1699"/>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Class weight</w:t>
            </w:r>
          </w:p>
        </w:tc>
        <w:tc>
          <w:tcPr>
            <w:tcW w:type="dxa" w:w="1699"/>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balanced, balanced_subsample, None</w:t>
            </w:r>
          </w:p>
        </w:tc>
        <w:tc>
          <w:tcPr>
            <w:tcW w:type="dxa" w:w="1699"/>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Original configuration; depth None and leaf size 1</w:t>
            </w:r>
          </w:p>
        </w:tc>
      </w:tr>
    </w:tbl>
    <w:p>
      <w:pPr>
        <w:jc w:val="both"/>
      </w:pPr>
      <w:r>
        <w:rPr>
          <w:rFonts w:ascii="Times New Roman" w:hAnsi="Times New Roman" w:eastAsia="Times New Roman" w:cs="Times New Roman"/>
          <w:b w:val="0"/>
          <w:sz w:val="20"/>
        </w:rPr>
        <w:t>Increasing the minimum leaf size tests whether less detailed terminal partitions improve later-period performance. Limiting depth tests a separate form of tree regularization. Changing class weights tests the balance between aggregate scores and class-specific detection. These are development questions evaluated under the same data and preprocessing, not assumptions that tuning must improve the reference.</w:t>
      </w:r>
    </w:p>
    <w:p>
      <w:pPr>
        <w:jc w:val="both"/>
      </w:pPr>
      <w:r>
        <w:rPr>
          <w:rFonts w:ascii="Times New Roman" w:hAnsi="Times New Roman" w:eastAsia="Times New Roman" w:cs="Times New Roman"/>
          <w:b w:val="0"/>
          <w:sz w:val="20"/>
        </w:rPr>
        <w:t>Each comparison fits a fresh pipeline on target-specific labeled training rows and evaluates only target-specific labeled validation rows. No new features, datasets, synthetic records, or NLP components are introduced. Experiment results are stored in separate JSON files; the comparison routines do not save models or overwrite the original validation JSON and confusion-matrix plots.</w:t>
      </w:r>
    </w:p>
    <w:p>
      <w:pPr>
        <w:pStyle w:val="Heading1"/>
        <w:jc w:val="center"/>
      </w:pPr>
      <w:r>
        <w:rPr>
          <w:rFonts w:ascii="Times New Roman" w:hAnsi="Times New Roman" w:eastAsia="Times New Roman" w:cs="Times New Roman"/>
          <w:smallCaps/>
        </w:rPr>
        <w:t>VII. VALIDATION RESULTS</w:t>
      </w:r>
    </w:p>
    <w:p>
      <w:pPr>
        <w:pStyle w:val="Heading2"/>
      </w:pPr>
      <w:r>
        <w:rPr>
          <w:rFonts w:ascii="Times New Roman" w:hAnsi="Times New Roman" w:eastAsia="Times New Roman" w:cs="Times New Roman"/>
          <w:i/>
        </w:rPr>
        <w:t>A. Original Models and Dummy Baselines</w:t>
      </w:r>
    </w:p>
    <w:p>
      <w:pPr>
        <w:keepNext/>
        <w:spacing w:before="100" w:after="60"/>
        <w:ind w:firstLine="0"/>
        <w:jc w:val="center"/>
      </w:pPr>
      <w:r>
        <w:rPr>
          <w:rFonts w:ascii="Times New Roman" w:hAnsi="Times New Roman" w:eastAsia="Times New Roman" w:cs="Times New Roman"/>
          <w:b w:val="0"/>
          <w:sz w:val="16"/>
        </w:rPr>
        <w:t>TABLE IV. ORIGINAL VALIDATION RESULTS</w:t>
      </w:r>
    </w:p>
    <w:tbl>
      <w:tblPr>
        <w:tblStyle w:val="TableGrid"/>
        <w:tblW w:type="auto" w:w="0"/>
        <w:tblLayout w:type="fixed"/>
        <w:tblLook w:firstColumn="1" w:firstRow="1" w:lastColumn="0" w:lastRow="0" w:noHBand="0" w:noVBand="1" w:val="04A0"/>
      </w:tblPr>
      <w:tblGrid>
        <w:gridCol w:w="1223"/>
        <w:gridCol w:w="1274"/>
        <w:gridCol w:w="866"/>
        <w:gridCol w:w="866"/>
        <w:gridCol w:w="866"/>
      </w:tblGrid>
      <w:tr>
        <w:trPr>
          <w:cantSplit/>
          <w:tblHeader/>
        </w:trPr>
        <w:tc>
          <w:tcPr>
            <w:tcW w:type="dxa" w:w="1223"/>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Target</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Model</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Accuracy</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Macro F1</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Weighted F1</w:t>
            </w:r>
          </w:p>
        </w:tc>
      </w:tr>
      <w:tr>
        <w:trPr>
          <w:cantSplit/>
        </w:trPr>
        <w:tc>
          <w:tcPr>
            <w:tcW w:type="dxa" w:w="1223"/>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Affected</w:t>
              <w:br/>
              <w:t>range</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Training-majority Dummy</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47.60%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0.2150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0.3070</w:t>
            </w:r>
          </w:p>
        </w:tc>
      </w:tr>
      <w:tr>
        <w:trPr>
          <w:cantSplit/>
        </w:trPr>
        <w:tc>
          <w:tcPr>
            <w:tcW w:type="dxa" w:w="1223"/>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Affected</w:t>
              <w:br/>
              <w:t>range</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Original Random Forest</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51.99%</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0.5037</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0.5172</w:t>
            </w:r>
          </w:p>
        </w:tc>
      </w:tr>
      <w:tr>
        <w:trPr>
          <w:cantSplit/>
        </w:trPr>
        <w:tc>
          <w:tcPr>
            <w:tcW w:type="dxa" w:w="1223"/>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Impact</w:t>
              <w:br/>
              <w:t>priority</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Training-majority Dummy</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29.81%</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0.1531</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0.1369</w:t>
            </w:r>
          </w:p>
        </w:tc>
      </w:tr>
      <w:tr>
        <w:trPr>
          <w:cantSplit/>
        </w:trPr>
        <w:tc>
          <w:tcPr>
            <w:tcW w:type="dxa" w:w="1223"/>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Impact</w:t>
              <w:br/>
              <w:t>priority</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Original Random Forest</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47.28%</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0.4632</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0.4732</w:t>
            </w:r>
          </w:p>
        </w:tc>
      </w:tr>
    </w:tbl>
    <w:p>
      <w:pPr>
        <w:jc w:val="both"/>
      </w:pPr>
      <w:r>
        <w:rPr>
          <w:rFonts w:ascii="Times New Roman" w:hAnsi="Times New Roman" w:eastAsia="Times New Roman" w:cs="Times New Roman"/>
          <w:b w:val="0"/>
          <w:sz w:val="20"/>
        </w:rPr>
        <w:t>The original forest improves accuracy over Dummy by 4.39 percentage points for affected range and 17.47 percentage points for impact priority. The Dummy model predicts the training-majority class, whose validation frequency need not equal the validation-majority frequency.</w:t>
      </w:r>
    </w:p>
    <w:p>
      <w:pPr>
        <w:pStyle w:val="Heading2"/>
      </w:pPr>
      <w:r>
        <w:rPr>
          <w:rFonts w:ascii="Times New Roman" w:hAnsi="Times New Roman" w:eastAsia="Times New Roman" w:cs="Times New Roman"/>
          <w:i/>
        </w:rPr>
        <w:t>B. Tuning Comparisons</w:t>
      </w:r>
    </w:p>
    <w:p>
      <w:pPr>
        <w:keepNext/>
        <w:spacing w:before="100" w:after="60"/>
        <w:ind w:firstLine="0"/>
        <w:jc w:val="center"/>
      </w:pPr>
      <w:r>
        <w:rPr>
          <w:rFonts w:ascii="Times New Roman" w:hAnsi="Times New Roman" w:eastAsia="Times New Roman" w:cs="Times New Roman"/>
          <w:b w:val="0"/>
          <w:sz w:val="16"/>
        </w:rPr>
        <w:t>TABLE V-A. AFFECTED RANGE VALIDATION COMPARISONS</w:t>
      </w:r>
    </w:p>
    <w:tbl>
      <w:tblPr>
        <w:tblStyle w:val="TableGrid"/>
        <w:tblW w:type="auto" w:w="0"/>
        <w:tblLayout w:type="fixed"/>
        <w:tblLook w:firstColumn="1" w:firstRow="1" w:lastColumn="0" w:lastRow="0" w:noHBand="0" w:noVBand="1" w:val="04A0"/>
      </w:tblPr>
      <w:tblGrid>
        <w:gridCol w:w="1631"/>
        <w:gridCol w:w="866"/>
        <w:gridCol w:w="815"/>
        <w:gridCol w:w="866"/>
        <w:gridCol w:w="917"/>
      </w:tblGrid>
      <w:tr>
        <w:trPr>
          <w:cantSplit/>
          <w:tblHeader/>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Configuration</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Accuracy</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Macro</w:t>
              <w:br/>
              <w:t>F1</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Weighted</w:t>
              <w:br/>
              <w:t>F1</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High</w:t>
              <w:br/>
              <w:t>recall</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Original</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51.99%</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0.5037</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0.5172</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37.82%</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Leaf size 5</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49.34%</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0.4863</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0.4920</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41.60%</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Depth 10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49.64%</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0.4827</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0.4950</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37.39%</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Depth 20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51.79%</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0.4958</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0.5129</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33.61%</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Weight: balanced</w:t>
              <w:br/>
              <w:t>subsample</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53.32%</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0.5017</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0.5245</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31.93%</w:t>
            </w:r>
          </w:p>
        </w:tc>
      </w:tr>
      <w:tr>
        <w:trPr>
          <w:cantSplit/>
        </w:trPr>
        <w:tc>
          <w:tcPr>
            <w:tcW w:type="dxa" w:w="1631"/>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Weight: None</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53.42%</w:t>
            </w:r>
          </w:p>
        </w:tc>
        <w:tc>
          <w:tcPr>
            <w:tcW w:type="dxa" w:w="815"/>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0.4936</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0.5209</w:t>
            </w:r>
          </w:p>
        </w:tc>
        <w:tc>
          <w:tcPr>
            <w:tcW w:type="dxa" w:w="917"/>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28.15%</w:t>
            </w:r>
          </w:p>
        </w:tc>
      </w:tr>
    </w:tbl>
    <w:p>
      <w:pPr>
        <w:keepNext/>
        <w:spacing w:before="100" w:after="60"/>
        <w:ind w:firstLine="0"/>
        <w:jc w:val="center"/>
      </w:pPr>
      <w:r>
        <w:rPr>
          <w:rFonts w:ascii="Times New Roman" w:hAnsi="Times New Roman" w:eastAsia="Times New Roman" w:cs="Times New Roman"/>
          <w:b w:val="0"/>
          <w:sz w:val="16"/>
        </w:rPr>
        <w:t>TABLE V-B. IMPACT PRIORITY VALIDATION COMPARISONS</w:t>
      </w:r>
    </w:p>
    <w:tbl>
      <w:tblPr>
        <w:tblStyle w:val="TableGrid"/>
        <w:tblW w:type="auto" w:w="0"/>
        <w:tblLayout w:type="fixed"/>
        <w:tblLook w:firstColumn="1" w:firstRow="1" w:lastColumn="0" w:lastRow="0" w:noHBand="0" w:noVBand="1" w:val="04A0"/>
      </w:tblPr>
      <w:tblGrid>
        <w:gridCol w:w="1631"/>
        <w:gridCol w:w="866"/>
        <w:gridCol w:w="815"/>
        <w:gridCol w:w="866"/>
        <w:gridCol w:w="917"/>
      </w:tblGrid>
      <w:tr>
        <w:trPr>
          <w:cantSplit/>
          <w:tblHeader/>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Configuration</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Accuracy</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Macro</w:t>
              <w:br/>
              <w:t>F1</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Weighted</w:t>
              <w:br/>
              <w:t>F1</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High</w:t>
              <w:br/>
              <w:t>recall</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Original</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47.28%</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0.4632</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0.4732</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40.39%</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Leaf size 5</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45.96%</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0.4439</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0.4552</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44.33%</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Depth 10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46.11%</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0.4434</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0.4554</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43.84%</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Depth 20</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46.70%</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0.4537</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0.4648</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35.96%</w:t>
            </w:r>
          </w:p>
        </w:tc>
      </w:tr>
      <w:tr>
        <w:trPr>
          <w:cantSplit/>
        </w:trPr>
        <w:tc>
          <w:tcPr>
            <w:tcW w:type="dxa" w:w="1631"/>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Weight: balanced</w:t>
              <w:br/>
              <w:t>subsample</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45.23%</w:t>
            </w:r>
          </w:p>
        </w:tc>
        <w:tc>
          <w:tcPr>
            <w:tcW w:type="dxa" w:w="815"/>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0.4435</w:t>
            </w:r>
          </w:p>
        </w:tc>
        <w:tc>
          <w:tcPr>
            <w:tcW w:type="dxa" w:w="866"/>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0.4529</w:t>
            </w:r>
          </w:p>
        </w:tc>
        <w:tc>
          <w:tcPr>
            <w:tcW w:type="dxa" w:w="917"/>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40.39%</w:t>
            </w:r>
          </w:p>
        </w:tc>
      </w:tr>
      <w:tr>
        <w:trPr>
          <w:cantSplit/>
        </w:trPr>
        <w:tc>
          <w:tcPr>
            <w:tcW w:type="dxa" w:w="1631"/>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Weight: None</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45.67%</w:t>
            </w:r>
          </w:p>
        </w:tc>
        <w:tc>
          <w:tcPr>
            <w:tcW w:type="dxa" w:w="815"/>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0.4481</w:t>
            </w:r>
          </w:p>
        </w:tc>
        <w:tc>
          <w:tcPr>
            <w:tcW w:type="dxa" w:w="866"/>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0.4572</w:t>
            </w:r>
          </w:p>
        </w:tc>
        <w:tc>
          <w:tcPr>
            <w:tcW w:type="dxa" w:w="917"/>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42.36%</w:t>
            </w:r>
          </w:p>
        </w:tc>
      </w:tr>
    </w:tbl>
    <w:p>
      <w:pPr>
        <w:jc w:val="both"/>
      </w:pPr>
      <w:r>
        <w:rPr>
          <w:rFonts w:ascii="Times New Roman" w:hAnsi="Times New Roman" w:eastAsia="Times New Roman" w:cs="Times New Roman"/>
          <w:b w:val="0"/>
          <w:sz w:val="20"/>
        </w:rPr>
        <w:t>The reference entries in the three saved experiment files match the original saved metrics exactly. They are consolidated as one original row per target in Table V. All reported results are validation results; no final test results are available.</w:t>
      </w:r>
    </w:p>
    <w:p>
      <w:pPr>
        <w:pStyle w:val="Heading2"/>
      </w:pPr>
      <w:r>
        <w:rPr>
          <w:rFonts w:ascii="Times New Roman" w:hAnsi="Times New Roman" w:eastAsia="Times New Roman" w:cs="Times New Roman"/>
          <w:i/>
        </w:rPr>
        <w:t>C. Original Confusion Matrices</w:t>
      </w:r>
    </w:p>
    <w:p>
      <w:pPr>
        <w:jc w:val="both"/>
      </w:pPr>
      <w:r>
        <w:rPr>
          <w:rFonts w:ascii="Times New Roman" w:hAnsi="Times New Roman" w:eastAsia="Times New Roman" w:cs="Times New Roman"/>
          <w:b w:val="0"/>
          <w:sz w:val="20"/>
        </w:rPr>
        <w:t>Rows denote actual labels and columns predicted labels. Class order is high, low, medium.</w:t>
      </w:r>
    </w:p>
    <w:p>
      <w:pPr>
        <w:keepNext/>
        <w:spacing w:before="100" w:after="60"/>
        <w:ind w:firstLine="0"/>
        <w:jc w:val="center"/>
      </w:pPr>
      <w:r>
        <w:rPr>
          <w:rFonts w:ascii="Times New Roman" w:hAnsi="Times New Roman" w:eastAsia="Times New Roman" w:cs="Times New Roman"/>
          <w:b w:val="0"/>
          <w:sz w:val="16"/>
        </w:rPr>
        <w:t>TABLE VI. AFFECTED-RANGE VALIDATION CONFUSION MATRIX</w:t>
      </w:r>
    </w:p>
    <w:tbl>
      <w:tblPr>
        <w:tblStyle w:val="TableGrid"/>
        <w:tblW w:type="auto" w:w="0"/>
        <w:tblLayout w:type="fixed"/>
        <w:tblLook w:firstColumn="1" w:firstRow="1" w:lastColumn="0" w:lastRow="0" w:noHBand="0" w:noVBand="1" w:val="04A0"/>
      </w:tblPr>
      <w:tblGrid>
        <w:gridCol w:w="1274"/>
        <w:gridCol w:w="1274"/>
        <w:gridCol w:w="1274"/>
        <w:gridCol w:w="1274"/>
      </w:tblGrid>
      <w:tr>
        <w:trPr>
          <w:cantSplit/>
          <w:tblHeader/>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Actual / Predicted</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High</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Low</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Medium</w:t>
            </w:r>
          </w:p>
        </w:tc>
      </w:tr>
      <w:tr>
        <w:trPr>
          <w:cantSplit/>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High</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90</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45</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103</w:t>
            </w:r>
          </w:p>
        </w:tc>
      </w:tr>
      <w:tr>
        <w:trPr>
          <w:cantSplit/>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Low</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15</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162</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98</w:t>
            </w:r>
          </w:p>
        </w:tc>
      </w:tr>
      <w:tr>
        <w:trPr>
          <w:cantSplit/>
        </w:trPr>
        <w:tc>
          <w:tcPr>
            <w:tcW w:type="dxa" w:w="1274"/>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Medium</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88</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121</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257</w:t>
            </w:r>
          </w:p>
        </w:tc>
      </w:tr>
    </w:tbl>
    <w:p>
      <w:pPr>
        <w:keepNext/>
        <w:spacing w:before="100" w:after="60"/>
        <w:ind w:firstLine="0"/>
        <w:jc w:val="center"/>
      </w:pPr>
      <w:r>
        <w:rPr>
          <w:rFonts w:ascii="Times New Roman" w:hAnsi="Times New Roman" w:eastAsia="Times New Roman" w:cs="Times New Roman"/>
          <w:b w:val="0"/>
          <w:sz w:val="16"/>
        </w:rPr>
        <w:t>TABLE VII. IMPACT-PRIORITY VALIDATION CONFUSION MATRIX</w:t>
      </w:r>
    </w:p>
    <w:tbl>
      <w:tblPr>
        <w:tblStyle w:val="TableGrid"/>
        <w:tblW w:type="auto" w:w="0"/>
        <w:tblLayout w:type="fixed"/>
        <w:tblLook w:firstColumn="1" w:firstRow="1" w:lastColumn="0" w:lastRow="0" w:noHBand="0" w:noVBand="1" w:val="04A0"/>
      </w:tblPr>
      <w:tblGrid>
        <w:gridCol w:w="1274"/>
        <w:gridCol w:w="1274"/>
        <w:gridCol w:w="1274"/>
        <w:gridCol w:w="1274"/>
      </w:tblGrid>
      <w:tr>
        <w:trPr>
          <w:cantSplit/>
          <w:tblHeader/>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sz w:val="16"/>
              </w:rPr>
              <w:t>Actual / Predicted</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High</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Low</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sz w:val="16"/>
              </w:rPr>
              <w:t>Medium</w:t>
            </w:r>
          </w:p>
        </w:tc>
      </w:tr>
      <w:tr>
        <w:trPr>
          <w:cantSplit/>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High</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82</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55</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66</w:t>
            </w:r>
          </w:p>
        </w:tc>
      </w:tr>
      <w:tr>
        <w:trPr>
          <w:cantSplit/>
        </w:trPr>
        <w:tc>
          <w:tcPr>
            <w:tcW w:type="dxa" w:w="1274"/>
            <w:tcMar>
              <w:left w:w="40" w:type="dxa"/>
              <w:right w:w="40" w:type="dxa"/>
            </w:tcMar>
          </w:tcPr>
          <w:p>
            <w:pPr>
              <w:keepNext/>
              <w:spacing w:before="20" w:after="20" w:line="240" w:lineRule="auto"/>
              <w:ind w:firstLine="0"/>
              <w:jc w:val="left"/>
            </w:pPr>
            <w:r>
              <w:rPr>
                <w:rFonts w:ascii="Times New Roman" w:hAnsi="Times New Roman" w:eastAsia="Times New Roman" w:cs="Times New Roman"/>
                <w:b w:val="0"/>
                <w:sz w:val="16"/>
              </w:rPr>
              <w:t>Low</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32</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158</w:t>
            </w:r>
          </w:p>
        </w:tc>
        <w:tc>
          <w:tcPr>
            <w:tcW w:type="dxa" w:w="1274"/>
            <w:tcMar>
              <w:left w:w="40" w:type="dxa"/>
              <w:right w:w="40" w:type="dxa"/>
            </w:tcMar>
          </w:tcPr>
          <w:p>
            <w:pPr>
              <w:keepNext/>
              <w:spacing w:before="20" w:after="20" w:line="240" w:lineRule="auto"/>
              <w:ind w:firstLine="0"/>
              <w:jc w:val="center"/>
            </w:pPr>
            <w:r>
              <w:rPr>
                <w:rFonts w:ascii="Times New Roman" w:hAnsi="Times New Roman" w:eastAsia="Times New Roman" w:cs="Times New Roman"/>
                <w:b w:val="0"/>
                <w:sz w:val="16"/>
              </w:rPr>
              <w:t>84</w:t>
            </w:r>
          </w:p>
        </w:tc>
      </w:tr>
      <w:tr>
        <w:trPr>
          <w:cantSplit/>
        </w:trPr>
        <w:tc>
          <w:tcPr>
            <w:tcW w:type="dxa" w:w="1274"/>
            <w:tcMar>
              <w:left w:w="40" w:type="dxa"/>
              <w:right w:w="40" w:type="dxa"/>
            </w:tcMar>
          </w:tcPr>
          <w:p>
            <w:pPr>
              <w:keepNext w:val="0"/>
              <w:spacing w:before="20" w:after="20" w:line="240" w:lineRule="auto"/>
              <w:ind w:firstLine="0"/>
              <w:jc w:val="left"/>
            </w:pPr>
            <w:r>
              <w:rPr>
                <w:rFonts w:ascii="Times New Roman" w:hAnsi="Times New Roman" w:eastAsia="Times New Roman" w:cs="Times New Roman"/>
                <w:b w:val="0"/>
                <w:sz w:val="16"/>
              </w:rPr>
              <w:t>Medium</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45</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77</w:t>
            </w:r>
          </w:p>
        </w:tc>
        <w:tc>
          <w:tcPr>
            <w:tcW w:type="dxa" w:w="1274"/>
            <w:tcMar>
              <w:left w:w="40" w:type="dxa"/>
              <w:right w:w="40" w:type="dxa"/>
            </w:tcMar>
          </w:tcPr>
          <w:p>
            <w:pPr>
              <w:keepNext w:val="0"/>
              <w:spacing w:before="20" w:after="20" w:line="240" w:lineRule="auto"/>
              <w:ind w:firstLine="0"/>
              <w:jc w:val="center"/>
            </w:pPr>
            <w:r>
              <w:rPr>
                <w:rFonts w:ascii="Times New Roman" w:hAnsi="Times New Roman" w:eastAsia="Times New Roman" w:cs="Times New Roman"/>
                <w:b w:val="0"/>
                <w:sz w:val="16"/>
              </w:rPr>
              <w:t>82</w:t>
            </w:r>
          </w:p>
        </w:tc>
      </w:tr>
    </w:tbl>
    <w:p>
      <w:pPr>
        <w:jc w:val="both"/>
      </w:pPr>
      <w:r>
        <w:rPr>
          <w:rFonts w:ascii="Times New Roman" w:hAnsi="Times New Roman" w:eastAsia="Times New Roman" w:cs="Times New Roman"/>
          <w:b w:val="0"/>
          <w:sz w:val="20"/>
        </w:rPr>
        <w:t>The original models correctly identify 90 of 238 high affected-range records and 82 of 203 high-priority records. These counts explain why high-class recall must be considered alongside overall accuracy.</w:t>
      </w:r>
    </w:p>
    <w:p>
      <w:pPr>
        <w:pStyle w:val="Heading1"/>
        <w:jc w:val="center"/>
      </w:pPr>
      <w:r>
        <w:rPr>
          <w:rFonts w:ascii="Times New Roman" w:hAnsi="Times New Roman" w:eastAsia="Times New Roman" w:cs="Times New Roman"/>
          <w:smallCaps/>
        </w:rPr>
        <w:t>VIII. DISCUSSION</w:t>
      </w:r>
    </w:p>
    <w:p>
      <w:pPr>
        <w:jc w:val="both"/>
      </w:pPr>
      <w:r>
        <w:rPr>
          <w:rFonts w:ascii="Times New Roman" w:hAnsi="Times New Roman" w:eastAsia="Times New Roman" w:cs="Times New Roman"/>
          <w:b w:val="0"/>
          <w:sz w:val="20"/>
        </w:rPr>
        <w:t>The original configuration has the highest observed validation macro F1 for both targets among the configurations compared; it also has the highest accuracy and weighted F1 for impact priority. This statement reflects a balanced interpretation of the validation metrics, not dominance on every metric or a final model-selection decision.</w:t>
      </w:r>
    </w:p>
    <w:p>
      <w:pPr>
        <w:jc w:val="both"/>
      </w:pPr>
      <w:r>
        <w:rPr>
          <w:rFonts w:ascii="Times New Roman" w:hAnsi="Times New Roman" w:eastAsia="Times New Roman" w:cs="Times New Roman"/>
          <w:b w:val="0"/>
          <w:sz w:val="20"/>
        </w:rPr>
        <w:t>For affected range, leaf size 5 increases high recall from 37.82% to 41.60% while lowering accuracy and both F1 scores. Both depth limits lower all four tabulated metrics. Balanced subsampling and removal of weighting increase accuracy and weighted F1 but lower macro F1 and high recall. In particular, no class weighting raises accuracy to 53.42% while reducing high recall to 28.15%, illustrating the cost of interpreting accuracy alone.</w:t>
      </w:r>
    </w:p>
    <w:p>
      <w:pPr>
        <w:jc w:val="both"/>
      </w:pPr>
      <w:r>
        <w:rPr>
          <w:rFonts w:ascii="Times New Roman" w:hAnsi="Times New Roman" w:eastAsia="Times New Roman" w:cs="Times New Roman"/>
          <w:b w:val="0"/>
          <w:sz w:val="20"/>
        </w:rPr>
        <w:t>For impact priority, every alternative lowers accuracy, macro F1, and weighted F1. High recall increases with leaf size 5, depth 10, and no weighting; remains unchanged with balanced subsampling; and decreases with depth 20. None of these comparisons demonstrates an improvement across all reported metrics.</w:t>
      </w:r>
    </w:p>
    <w:p>
      <w:pPr>
        <w:jc w:val="both"/>
      </w:pPr>
      <w:r>
        <w:rPr>
          <w:rFonts w:ascii="Times New Roman" w:hAnsi="Times New Roman" w:eastAsia="Times New Roman" w:cs="Times New Roman"/>
          <w:b w:val="0"/>
          <w:sz w:val="20"/>
        </w:rPr>
        <w:t>These are observed differences on one temporal validation period. No statistical significance, confidence interval, operational benefit, or performance on unseen test years is established. Repeated use of validation for tuning also means the same partition cannot provide an independent final estimate of generalization [16].</w:t>
      </w:r>
    </w:p>
    <w:p>
      <w:pPr>
        <w:pStyle w:val="Heading1"/>
        <w:jc w:val="center"/>
      </w:pPr>
      <w:r>
        <w:rPr>
          <w:rFonts w:ascii="Times New Roman" w:hAnsi="Times New Roman" w:eastAsia="Times New Roman" w:cs="Times New Roman"/>
          <w:smallCaps/>
        </w:rPr>
        <w:t>IX. LIMITATIONS</w:t>
      </w:r>
    </w:p>
    <w:p>
      <w:pPr>
        <w:jc w:val="both"/>
      </w:pPr>
      <w:r>
        <w:rPr>
          <w:rFonts w:ascii="Times New Roman" w:hAnsi="Times New Roman" w:eastAsia="Times New Roman" w:cs="Times New Roman"/>
          <w:b w:val="0"/>
          <w:sz w:val="20"/>
        </w:rPr>
        <w:t>Historical outcome missingness causes target-specific exclusion and may bias the labeled samples, consistent with the data-quality concerns motivating Jones et al. [11]. The missingness mechanism in this project's snapshot has not itself been established. The labels are quantile-based proxies rather than validated response-priority standards. Volcanic activity is absent from priority labeling because of insufficient complete training observations. Magnitude has substantial missingness and hazard-dependent units; geographic descriptors may reflect reporting practices as well as underlying impact patterns.</w:t>
      </w:r>
    </w:p>
    <w:p>
      <w:pPr>
        <w:jc w:val="both"/>
      </w:pPr>
      <w:r>
        <w:rPr>
          <w:rFonts w:ascii="Times New Roman" w:hAnsi="Times New Roman" w:eastAsia="Times New Roman" w:cs="Times New Roman"/>
          <w:b w:val="0"/>
          <w:sz w:val="20"/>
        </w:rPr>
        <w:t>Temporal separation and training-only transformations address specific leakage channels. The preprocessing report's duplicate check concerns full DisNo identifiers; independence among country records of the same disaster across period boundaries has not been established. The historical timing and revision of magnitude and its availability indicator also require audit. These are unresolved checks, not evidence that a particular leak has occurred. Talan et al.'s event-aware design [3] illustrates the importance of separating record identity from underlying event identity.</w:t>
      </w:r>
    </w:p>
    <w:p>
      <w:pPr>
        <w:jc w:val="both"/>
      </w:pPr>
      <w:r>
        <w:rPr>
          <w:rFonts w:ascii="Times New Roman" w:hAnsi="Times New Roman" w:eastAsia="Times New Roman" w:cs="Times New Roman"/>
          <w:b w:val="0"/>
          <w:sz w:val="20"/>
        </w:rPr>
        <w:t>The raw historical export is unavailable in the current cloud environment, so the saved results were not independently reproduced during manuscript preparation. Dataset provenance, exact unrounded thresholds, training package versions, and artifact hashes require fuller documentation. No confidence intervals, repeated-seed analysis, or broader model-family comparison is available in the inspected results.</w:t>
      </w:r>
    </w:p>
    <w:p>
      <w:pPr>
        <w:jc w:val="both"/>
      </w:pPr>
      <w:r>
        <w:rPr>
          <w:rFonts w:ascii="Times New Roman" w:hAnsi="Times New Roman" w:eastAsia="Times New Roman" w:cs="Times New Roman"/>
          <w:b w:val="0"/>
          <w:sz w:val="20"/>
        </w:rPr>
        <w:t xml:space="preserve">Live GDACS-to-EM-DAT feature and category mapping has not yet been fully validated. The GDACS parser labels tropical cyclones as </w:t>
      </w:r>
      <w:r>
        <w:rPr>
          <w:rFonts w:ascii="Times New Roman" w:hAnsi="Times New Roman" w:eastAsia="Times New Roman" w:cs="Times New Roman"/>
          <w:b w:val="0"/>
          <w:sz w:val="20"/>
        </w:rPr>
        <w:t>Tropical Cyclone</w:t>
      </w:r>
      <w:r>
        <w:rPr>
          <w:rFonts w:ascii="Times New Roman" w:hAnsi="Times New Roman" w:eastAsia="Times New Roman" w:cs="Times New Roman"/>
          <w:b w:val="0"/>
          <w:sz w:val="20"/>
        </w:rPr>
        <w:t xml:space="preserve"> and volcanic events as </w:t>
      </w:r>
      <w:r>
        <w:rPr>
          <w:rFonts w:ascii="Times New Roman" w:hAnsi="Times New Roman" w:eastAsia="Times New Roman" w:cs="Times New Roman"/>
          <w:b w:val="0"/>
          <w:sz w:val="20"/>
        </w:rPr>
        <w:t>Volcanic Event</w:t>
      </w:r>
      <w:r>
        <w:rPr>
          <w:rFonts w:ascii="Times New Roman" w:hAnsi="Times New Roman" w:eastAsia="Times New Roman" w:cs="Times New Roman"/>
          <w:b w:val="0"/>
          <w:sz w:val="20"/>
        </w:rPr>
        <w:t xml:space="preserve">, whereas the historical categories include </w:t>
      </w:r>
      <w:r>
        <w:rPr>
          <w:rFonts w:ascii="Times New Roman" w:hAnsi="Times New Roman" w:eastAsia="Times New Roman" w:cs="Times New Roman"/>
          <w:b w:val="0"/>
          <w:sz w:val="20"/>
        </w:rPr>
        <w:t>Storm</w:t>
      </w:r>
      <w:r>
        <w:rPr>
          <w:rFonts w:ascii="Times New Roman" w:hAnsi="Times New Roman" w:eastAsia="Times New Roman" w:cs="Times New Roman"/>
          <w:b w:val="0"/>
          <w:sz w:val="20"/>
        </w:rPr>
        <w:t xml:space="preserve"> and </w:t>
      </w:r>
      <w:r>
        <w:rPr>
          <w:rFonts w:ascii="Times New Roman" w:hAnsi="Times New Roman" w:eastAsia="Times New Roman" w:cs="Times New Roman"/>
          <w:b w:val="0"/>
          <w:sz w:val="20"/>
        </w:rPr>
        <w:t>Volcanic activity</w:t>
      </w:r>
      <w:r>
        <w:rPr>
          <w:rFonts w:ascii="Times New Roman" w:hAnsi="Times New Roman" w:eastAsia="Times New Roman" w:cs="Times New Roman"/>
          <w:b w:val="0"/>
          <w:sz w:val="20"/>
        </w:rPr>
        <w:t>. The implemented event records do not establish a complete, validated mapping for all nine predictors. Geographic enrichment, subtype correspondence, magnitude units, and prediction-time feature availability require verification.</w:t>
      </w:r>
    </w:p>
    <w:p>
      <w:pPr>
        <w:jc w:val="both"/>
      </w:pPr>
      <w:r>
        <w:rPr>
          <w:rFonts w:ascii="Times New Roman" w:hAnsi="Times New Roman" w:eastAsia="Times New Roman" w:cs="Times New Roman"/>
          <w:b w:val="0"/>
          <w:sz w:val="20"/>
        </w:rPr>
        <w:t>Live ML prediction integration is incomplete. Monitoring architecture and database prediction tables do not demonstrate operational inference. The 2023–2025 test split remains untouched by model evaluation, and final test metrics are pending. The system has not been established as suitable for official warnings or dispatch decisions.</w:t>
      </w:r>
    </w:p>
    <w:p>
      <w:pPr>
        <w:pStyle w:val="Heading1"/>
        <w:jc w:val="center"/>
      </w:pPr>
      <w:r>
        <w:rPr>
          <w:rFonts w:ascii="Times New Roman" w:hAnsi="Times New Roman" w:eastAsia="Times New Roman" w:cs="Times New Roman"/>
          <w:smallCaps/>
        </w:rPr>
        <w:t>X. FUTURE WORK</w:t>
      </w:r>
    </w:p>
    <w:p>
      <w:pPr>
        <w:jc w:val="both"/>
      </w:pPr>
      <w:r>
        <w:rPr>
          <w:rFonts w:ascii="Times New Roman" w:hAnsi="Times New Roman" w:eastAsia="Times New Roman" w:cs="Times New Roman"/>
          <w:b w:val="0"/>
          <w:sz w:val="20"/>
        </w:rPr>
        <w:t>Future work should document dataset provenance and reproduce the saved validation artifacts with recorded software versions. Underlying-event independence and prediction-time feature provenance should be audited, and a model-development protocol should be frozen before any future evaluation of the reserved 2023–2025 test split. That future evaluation should report aggregate metrics, per-class recall, confusion matrices, and appropriate uncertainty estimates without tuning on test outcomes.</w:t>
      </w:r>
    </w:p>
    <w:p>
      <w:pPr>
        <w:jc w:val="both"/>
      </w:pPr>
      <w:r>
        <w:rPr>
          <w:rFonts w:ascii="Times New Roman" w:hAnsi="Times New Roman" w:eastAsia="Times New Roman" w:cs="Times New Roman"/>
          <w:b w:val="0"/>
          <w:sz w:val="20"/>
        </w:rPr>
        <w:t>Live integration requires explicit GDACS-to-EM-DAT category mapping, completion of the nine-feature schema, validation of hazard-specific magnitude units, and confirmation that inputs exist at the intended prediction time. Subsequent implementation should connect validated inputs to inference and present estimates with clear provenance and limitations for human review. Operational latency and reliability must be measured before making real-time performance claims. Future literature work should obtain the unresolved full texts and refine the target-level comparison. Before operational interpretation, the relative-priority proxy should also be assessed against a clearly specified human decision task; historical class agreement alone does not establish response value.</w:t>
      </w:r>
    </w:p>
    <w:p>
      <w:pPr>
        <w:pStyle w:val="Heading1"/>
        <w:jc w:val="center"/>
      </w:pPr>
      <w:r>
        <w:rPr>
          <w:rFonts w:ascii="Times New Roman" w:hAnsi="Times New Roman" w:eastAsia="Times New Roman" w:cs="Times New Roman"/>
          <w:smallCaps/>
        </w:rPr>
        <w:t>XI. CONCLUSION</w:t>
      </w:r>
    </w:p>
    <w:p>
      <w:pPr>
        <w:jc w:val="both"/>
      </w:pPr>
      <w:r>
        <w:rPr>
          <w:rFonts w:ascii="Times New Roman" w:hAnsi="Times New Roman" w:eastAsia="Times New Roman" w:cs="Times New Roman"/>
          <w:b w:val="0"/>
          <w:sz w:val="20"/>
        </w:rPr>
        <w:t>The project pairs an implemented GDACS event-monitoring architecture with historical EM-DAT classification for affected-population range and a relative impact-priority proxy. Saved chronological validation results show that the original Random Forest exceeds the training-majority baseline on both targets. Single-parameter tuning introduces tradeoffs; the original configuration has the highest observed validation macro F1 for both targets among the configurations compared.</w:t>
      </w:r>
    </w:p>
    <w:p>
      <w:pPr>
        <w:jc w:val="both"/>
      </w:pPr>
      <w:r>
        <w:rPr>
          <w:rFonts w:ascii="Times New Roman" w:hAnsi="Times New Roman" w:eastAsia="Times New Roman" w:cs="Times New Roman"/>
          <w:b w:val="0"/>
          <w:sz w:val="20"/>
        </w:rPr>
        <w:t>The contribution is an applied task definition and validation study using established methods. It does not establish algorithmic novelty, priority-label validity, or superiority over earlier impact models. The evidence remains preliminary: final test metrics are pending, the 2023–2025 test split has not been evaluated, live feature and category mapping is not fully validated, and live ML prediction integration is incomplete. The intended use remains human-reviewed decision support rather than official warnings or automated dispatch.</w:t>
      </w:r>
    </w:p>
    <w:p>
      <w:pPr>
        <w:pStyle w:val="Heading1"/>
        <w:jc w:val="center"/>
      </w:pPr>
      <w:r>
        <w:rPr>
          <w:rFonts w:ascii="Times New Roman" w:hAnsi="Times New Roman" w:eastAsia="Times New Roman" w:cs="Times New Roman"/>
          <w:smallCaps/>
        </w:rPr>
        <w:t>REFERENCES</w:t>
      </w:r>
    </w:p>
    <w:p>
      <w:pPr>
        <w:keepLines/>
        <w:spacing w:after="60"/>
        <w:ind w:left="255" w:hanging="255"/>
        <w:jc w:val="both"/>
      </w:pPr>
      <w:r>
        <w:rPr>
          <w:rFonts w:ascii="Times New Roman" w:hAnsi="Times New Roman" w:eastAsia="Times New Roman" w:cs="Times New Roman"/>
          <w:b w:val="0"/>
          <w:sz w:val="16"/>
        </w:rPr>
        <w:t>[1] W. Sun, P. Bocchini, and B. D. Davison, “Applications of artificial intelligence for disaster management,” Natural Hazards, vol. 103, pp. 2631–2689, 2020, doi: 10.1007/s11069-020-04124-3.</w:t>
      </w:r>
    </w:p>
    <w:p>
      <w:pPr>
        <w:keepLines/>
        <w:spacing w:after="60"/>
        <w:ind w:left="255" w:hanging="255"/>
        <w:jc w:val="both"/>
      </w:pPr>
      <w:r>
        <w:rPr>
          <w:rFonts w:ascii="Times New Roman" w:hAnsi="Times New Roman" w:eastAsia="Times New Roman" w:cs="Times New Roman"/>
          <w:b w:val="0"/>
          <w:sz w:val="16"/>
        </w:rPr>
        <w:t>[2] T. Zhang, D. Wang, and Y. Lu, “Machine learning-enabled regional multi-hazards risk assessment considering social vulnerability,” Scientific Reports, vol. 13, Art. no. 13405, 2023, doi: 10.1038/s41598-023-40159-9.</w:t>
      </w:r>
    </w:p>
    <w:p>
      <w:pPr>
        <w:keepLines/>
        <w:spacing w:after="60"/>
        <w:ind w:left="255" w:hanging="255"/>
        <w:jc w:val="both"/>
      </w:pPr>
      <w:r>
        <w:rPr>
          <w:rFonts w:ascii="Times New Roman" w:hAnsi="Times New Roman" w:eastAsia="Times New Roman" w:cs="Times New Roman"/>
          <w:b w:val="0"/>
          <w:sz w:val="16"/>
        </w:rPr>
        <w:t>[3] T. Talan, T. Giray, A. Korkmaz, S. Kosunalp, V. Tumen, and E. Akin, “Predicting and Explaining Economic Losses from Natural Disasters: A Post-Hoc Machine Learning and Explainable AI Approach,” Applied Sciences, vol. 16, no. 19, Art. no. 9497, 2026, doi: 10.3390/app16199497.</w:t>
      </w:r>
    </w:p>
    <w:p>
      <w:pPr>
        <w:keepLines/>
        <w:spacing w:after="60"/>
        <w:ind w:left="255" w:hanging="255"/>
        <w:jc w:val="both"/>
      </w:pPr>
      <w:r>
        <w:rPr>
          <w:rFonts w:ascii="Times New Roman" w:hAnsi="Times New Roman" w:eastAsia="Times New Roman" w:cs="Times New Roman"/>
          <w:b w:val="0"/>
          <w:sz w:val="16"/>
        </w:rPr>
        <w:t>[4] P. Pidurkar et al., “Multi hazard risk assessment through geospatial analysis and machine learning,” Discover Global Society, vol. 4, Art. no. 181, published online Aug. 12, 2026, doi: 10.1007/s44282-026-00540-1.</w:t>
      </w:r>
    </w:p>
    <w:p>
      <w:pPr>
        <w:keepLines/>
        <w:spacing w:after="60"/>
        <w:ind w:left="255" w:hanging="255"/>
        <w:jc w:val="both"/>
      </w:pPr>
      <w:r>
        <w:rPr>
          <w:rFonts w:ascii="Times New Roman" w:hAnsi="Times New Roman" w:eastAsia="Times New Roman" w:cs="Times New Roman"/>
          <w:b w:val="0"/>
          <w:sz w:val="16"/>
        </w:rPr>
        <w:t>[5] B. Li, A. Gong, T. Zeng, W. Bao, C. Xu, and Z. Huang, “A Zoning Earthquake Casualty Prediction Model Based on Machine Learning,” Remote Sensing, vol. 14, no. 1, Art. no. 30, 2022, doi: 10.3390/rs14010030. Published online Dec. 22, 2021.</w:t>
      </w:r>
    </w:p>
    <w:p>
      <w:pPr>
        <w:keepLines/>
        <w:spacing w:after="60"/>
        <w:ind w:left="255" w:hanging="255"/>
        <w:jc w:val="both"/>
      </w:pPr>
      <w:r>
        <w:rPr>
          <w:rFonts w:ascii="Times New Roman" w:hAnsi="Times New Roman" w:eastAsia="Times New Roman" w:cs="Times New Roman"/>
          <w:b w:val="0"/>
          <w:sz w:val="16"/>
        </w:rPr>
        <w:t>[6] A. Aykut, E. Günsoy, and C. Yıldırım, “Using GDACS to anticipate clinical and operational burden after earthquakes: A global event-level analysis (2020–2024),” PLOS One, vol. 21, no. 1, Art. no. e0339018, 2026, doi: 10.1371/journal.pone.0339018.</w:t>
      </w:r>
    </w:p>
    <w:p>
      <w:pPr>
        <w:keepLines/>
        <w:spacing w:after="60"/>
        <w:ind w:left="255" w:hanging="255"/>
        <w:jc w:val="both"/>
      </w:pPr>
      <w:r>
        <w:rPr>
          <w:rFonts w:ascii="Times New Roman" w:hAnsi="Times New Roman" w:eastAsia="Times New Roman" w:cs="Times New Roman"/>
          <w:b w:val="0"/>
          <w:sz w:val="16"/>
        </w:rPr>
        <w:t>[7] W. Chen and L. Zhang, “An automated machine learning approach for earthquake casualty rate and economic loss prediction,” Reliability Engineering &amp; System Safety, vol. 225, Art. no. 108645, 2022, doi: 10.1016/j.ress.2022.108645.</w:t>
      </w:r>
    </w:p>
    <w:p>
      <w:pPr>
        <w:keepLines/>
        <w:spacing w:after="60"/>
        <w:ind w:left="255" w:hanging="255"/>
        <w:jc w:val="both"/>
      </w:pPr>
      <w:r>
        <w:rPr>
          <w:rFonts w:ascii="Times New Roman" w:hAnsi="Times New Roman" w:eastAsia="Times New Roman" w:cs="Times New Roman"/>
          <w:b w:val="0"/>
          <w:sz w:val="16"/>
        </w:rPr>
        <w:t>[8] Akshay S, Meghana Jithuri, Sinchana O S, Mruduhula R Vishwakarma, and Aradhya M R, “Predicting Severity of Flood Damage: A Smart Approach to Disaster Management,” Procedia Computer Science, vol. 269, pp. 1424–1433, 2025, doi: 10.1016/j.procs.2025.09.084.</w:t>
      </w:r>
    </w:p>
    <w:p>
      <w:pPr>
        <w:keepLines/>
        <w:spacing w:after="60"/>
        <w:ind w:left="255" w:hanging="255"/>
        <w:jc w:val="both"/>
      </w:pPr>
      <w:r>
        <w:rPr>
          <w:rFonts w:ascii="Times New Roman" w:hAnsi="Times New Roman" w:eastAsia="Times New Roman" w:cs="Times New Roman"/>
          <w:b w:val="0"/>
          <w:sz w:val="16"/>
        </w:rPr>
        <w:t>[9] A. Kalaivani, V. Asha, J. Sathya, Preetham KM, Rohini Babu T B, and S. Saha, “A Machine Learning – Based Framework for Multi-Hazard Natural Disaster Severity Prediction,” in Proc. 2026 5th International Conference on Sentiment Analysis and Deep Learning (ICSADL), pp. 587–592, 2026, doi: 10.1109/ICSADL67539.2026.11452016.</w:t>
      </w:r>
    </w:p>
    <w:p>
      <w:pPr>
        <w:keepLines/>
        <w:spacing w:after="60"/>
        <w:ind w:left="255" w:hanging="255"/>
        <w:jc w:val="both"/>
      </w:pPr>
      <w:r>
        <w:rPr>
          <w:rFonts w:ascii="Times New Roman" w:hAnsi="Times New Roman" w:eastAsia="Times New Roman" w:cs="Times New Roman"/>
          <w:b w:val="0"/>
          <w:sz w:val="16"/>
        </w:rPr>
        <w:t>[10] D. Delforge et al., “EM-DAT: the Emergency Events Database,” International Journal of Disaster Risk Reduction, vol. 124, Art. no. 105509, 2025, doi: 10.1016/j.ijdrr.2025.105509.</w:t>
      </w:r>
    </w:p>
    <w:p>
      <w:pPr>
        <w:keepLines/>
        <w:spacing w:after="60"/>
        <w:ind w:left="255" w:hanging="255"/>
        <w:jc w:val="both"/>
      </w:pPr>
      <w:r>
        <w:rPr>
          <w:rFonts w:ascii="Times New Roman" w:hAnsi="Times New Roman" w:eastAsia="Times New Roman" w:cs="Times New Roman"/>
          <w:b w:val="0"/>
          <w:sz w:val="16"/>
        </w:rPr>
        <w:t>[11] R. L. Jones, D. Guha-Sapir, and S. Tubeuf, “Human and economic impacts of natural disasters: can we trust the global data?” Scientific Data, vol. 9, Art. no. 572, 2022, doi: 10.1038/s41597-022-01667-x.</w:t>
      </w:r>
    </w:p>
    <w:p>
      <w:pPr>
        <w:keepLines/>
        <w:spacing w:after="60"/>
        <w:ind w:left="255" w:hanging="255"/>
        <w:jc w:val="both"/>
      </w:pPr>
      <w:r>
        <w:rPr>
          <w:rFonts w:ascii="Times New Roman" w:hAnsi="Times New Roman" w:eastAsia="Times New Roman" w:cs="Times New Roman"/>
          <w:b w:val="0"/>
          <w:sz w:val="16"/>
        </w:rPr>
        <w:t>[12] A. S. Albahri et al., “A systematic review of trustworthy artificial intelligence applications in natural disasters,” Computers and Electrical Engineering, vol. 118, Art. no. 109409, 2024, doi: 10.1016/j.compeleceng.2024.109409.</w:t>
      </w:r>
    </w:p>
    <w:p>
      <w:pPr>
        <w:keepLines/>
        <w:spacing w:after="60"/>
        <w:ind w:left="255" w:hanging="255"/>
        <w:jc w:val="both"/>
      </w:pPr>
      <w:r>
        <w:rPr>
          <w:rFonts w:ascii="Times New Roman" w:hAnsi="Times New Roman" w:eastAsia="Times New Roman" w:cs="Times New Roman"/>
          <w:b w:val="0"/>
          <w:sz w:val="16"/>
        </w:rPr>
        <w:t>[13] L. Breiman, “Random forests,” Machine Learning, vol. 45, no. 1, pp. 5–32, 2001, doi: 10.1023/A:1010933404324.</w:t>
      </w:r>
    </w:p>
    <w:p>
      <w:pPr>
        <w:keepLines/>
        <w:spacing w:after="60"/>
        <w:ind w:left="255" w:hanging="255"/>
        <w:jc w:val="both"/>
      </w:pPr>
      <w:r>
        <w:rPr>
          <w:rFonts w:ascii="Times New Roman" w:hAnsi="Times New Roman" w:eastAsia="Times New Roman" w:cs="Times New Roman"/>
          <w:b w:val="0"/>
          <w:sz w:val="16"/>
        </w:rPr>
        <w:t>[14] F. Pedregosa et al., “Scikit-learn: Machine learning in Python,” Journal of Machine Learning Research, vol. 12, pp. 2825–2830, 2011. [Online]. Available: https://jmlr.org/papers/v12/pedregosa11a.html.</w:t>
      </w:r>
    </w:p>
    <w:p>
      <w:pPr>
        <w:keepLines/>
        <w:spacing w:after="60"/>
        <w:ind w:left="255" w:hanging="255"/>
        <w:jc w:val="both"/>
      </w:pPr>
      <w:r>
        <w:rPr>
          <w:rFonts w:ascii="Times New Roman" w:hAnsi="Times New Roman" w:eastAsia="Times New Roman" w:cs="Times New Roman"/>
          <w:b w:val="0"/>
          <w:sz w:val="16"/>
        </w:rPr>
        <w:t>[15] S. Kapoor and A. Narayanan, “Leakage and the reproducibility crisis in ML-based science,” arXiv:2207.07048, 2022. [Online]. Available: https://arxiv.org/abs/2207.07048. The reviewed version is the author preprint.</w:t>
      </w:r>
    </w:p>
    <w:p>
      <w:pPr>
        <w:keepLines/>
        <w:spacing w:after="60"/>
        <w:ind w:left="255" w:hanging="255"/>
        <w:jc w:val="both"/>
      </w:pPr>
      <w:r>
        <w:rPr>
          <w:rFonts w:ascii="Times New Roman" w:hAnsi="Times New Roman" w:eastAsia="Times New Roman" w:cs="Times New Roman"/>
          <w:b w:val="0"/>
          <w:sz w:val="16"/>
        </w:rPr>
        <w:t>[16] G. C. Cawley and N. L. C. Talbot, “On over-fitting in model selection and subsequent selection bias in performance evaluation,” Journal of Machine Learning Research, vol. 11, pp. 2079–2107, 2010. [Online]. Available: https://jmlr.org/papers/v11/cawley10a.html.</w:t>
      </w:r>
    </w:p>
    <w:p>
      <w:pPr>
        <w:sectPr>
          <w:type w:val="continuous"/>
          <w:pgSz w:w="11906" w:h="16838"/>
          <w:pgMar w:top="1077" w:right="737" w:bottom="1440" w:left="737" w:header="454" w:footer="567" w:gutter="0"/>
          <w:cols w:space="238" w:num="2"/>
          <w:docGrid w:linePitch="360"/>
        </w:sectPr>
      </w:pPr>
    </w:p>
    <w:sectPr w:rsidR="00FC693F" w:rsidRPr="0006063C" w:rsidSect="00034616">
      <w:type w:val="continuous"/>
      <w:pgSz w:w="11906" w:h="16838"/>
      <w:pgMar w:top="1077" w:right="737" w:bottom="1440" w:left="737" w:header="454" w:footer="567" w:gutter="0"/>
      <w:cols w:space="23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0"/>
      <w:ind w:firstLine="198"/>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ind w:firstLine="0"/>
      <w:outlineLvl w:val="0"/>
    </w:pPr>
    <w:rPr>
      <w:rFonts w:ascii="Times New Roman" w:hAnsi="Times New Roman" w:eastAsia="Times New Roman" w:cs="Times New Roman"/>
      <w:b w:val="0"/>
      <w:bCs/>
      <w:sz w:val="20"/>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imes New Roman" w:hAnsi="Times New Roman" w:eastAsia="Times New Roman" w:cs="Times New Roman"/>
      <w:b w:val="0"/>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Multi-Disaster Impact Priority Prediction Using Machine Learning</dc:title>
  <dc:subject>Temporal validation and disaster decision support</dc:subject>
  <dc:creator/>
  <cp:keywords>EM-DAT; GDACS; Random Forest; validation; disaster impact</cp:keywords>
  <dc:description>generated by python-docx</dc:description>
  <cp:lastModifiedBy/>
  <cp:revision>1</cp:revision>
  <dcterms:created xsi:type="dcterms:W3CDTF">2013-12-23T23:15:00Z</dcterms:created>
  <dcterms:modified xsi:type="dcterms:W3CDTF">2013-12-23T23:15:00Z</dcterms:modified>
  <cp:category/>
</cp:coreProperties>
</file>