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C25EB" w14:textId="426747B5" w:rsidR="00A46D99" w:rsidRDefault="00B96221" w:rsidP="00071A48">
      <w:pPr>
        <w:pStyle w:val="Heading1"/>
        <w:spacing w:before="0" w:after="0" w:line="360" w:lineRule="auto"/>
        <w:jc w:val="center"/>
        <w:rPr>
          <w:rFonts w:cs="Times New Roman"/>
          <w:bCs/>
          <w:sz w:val="32"/>
          <w:szCs w:val="44"/>
          <w:lang w:val="en-GB"/>
        </w:rPr>
      </w:pPr>
      <w:r>
        <w:rPr>
          <w:rFonts w:cs="Times New Roman"/>
          <w:bCs/>
          <w:sz w:val="32"/>
          <w:szCs w:val="44"/>
          <w:lang w:val="en-GB"/>
        </w:rPr>
        <w:t xml:space="preserve">Case Study: </w:t>
      </w:r>
      <w:proofErr w:type="spellStart"/>
      <w:r w:rsidR="00A46D99" w:rsidRPr="00071A48">
        <w:rPr>
          <w:rFonts w:cs="Times New Roman"/>
          <w:bCs/>
          <w:sz w:val="32"/>
          <w:szCs w:val="44"/>
          <w:lang w:val="en-GB"/>
        </w:rPr>
        <w:t>Compari</w:t>
      </w:r>
      <w:r w:rsidR="00437D0E">
        <w:rPr>
          <w:rFonts w:cs="Times New Roman"/>
          <w:bCs/>
          <w:sz w:val="32"/>
          <w:szCs w:val="44"/>
          <w:lang w:val="en-GB"/>
        </w:rPr>
        <w:t>sion</w:t>
      </w:r>
      <w:proofErr w:type="spellEnd"/>
      <w:r w:rsidR="00437D0E">
        <w:rPr>
          <w:rFonts w:cs="Times New Roman"/>
          <w:bCs/>
          <w:sz w:val="32"/>
          <w:szCs w:val="44"/>
          <w:lang w:val="en-GB"/>
        </w:rPr>
        <w:t xml:space="preserve"> of</w:t>
      </w:r>
      <w:r w:rsidR="00A46D99" w:rsidRPr="00071A48">
        <w:rPr>
          <w:rFonts w:cs="Times New Roman"/>
          <w:bCs/>
          <w:sz w:val="32"/>
          <w:szCs w:val="44"/>
          <w:lang w:val="en-GB"/>
        </w:rPr>
        <w:t xml:space="preserve"> Local and Global Payment Systems</w:t>
      </w:r>
    </w:p>
    <w:p w14:paraId="7344E176" w14:textId="77777777" w:rsidR="00F578A2" w:rsidRPr="00F578A2" w:rsidRDefault="00F578A2" w:rsidP="00F578A2">
      <w:pPr>
        <w:rPr>
          <w:lang w:val="en-GB"/>
        </w:rPr>
      </w:pPr>
    </w:p>
    <w:p w14:paraId="63A60BA4" w14:textId="1CB83FCE" w:rsidR="004F0146" w:rsidRPr="00071A48" w:rsidRDefault="00026D98" w:rsidP="00071A48">
      <w:pPr>
        <w:pStyle w:val="Heading1"/>
        <w:tabs>
          <w:tab w:val="left" w:pos="-90"/>
        </w:tabs>
        <w:spacing w:before="0" w:after="0" w:line="360" w:lineRule="auto"/>
        <w:jc w:val="both"/>
        <w:rPr>
          <w:rFonts w:cs="Times New Roman"/>
          <w:bCs/>
          <w:sz w:val="32"/>
          <w:szCs w:val="32"/>
        </w:rPr>
      </w:pPr>
      <w:r w:rsidRPr="00071A48">
        <w:rPr>
          <w:rFonts w:cs="Times New Roman"/>
          <w:bCs/>
          <w:sz w:val="32"/>
          <w:szCs w:val="32"/>
        </w:rPr>
        <w:t xml:space="preserve">1. </w:t>
      </w:r>
      <w:r w:rsidR="00E62D4B" w:rsidRPr="00071A48">
        <w:rPr>
          <w:rFonts w:cs="Times New Roman"/>
          <w:bCs/>
          <w:sz w:val="32"/>
          <w:szCs w:val="32"/>
        </w:rPr>
        <w:t>Introduction</w:t>
      </w:r>
    </w:p>
    <w:p w14:paraId="20B3CE60" w14:textId="77777777" w:rsidR="00026D98" w:rsidRPr="00071A48" w:rsidRDefault="00026D98" w:rsidP="00071A48">
      <w:pPr>
        <w:spacing w:after="0" w:line="360" w:lineRule="auto"/>
        <w:jc w:val="both"/>
        <w:rPr>
          <w:rFonts w:cs="Times New Roman"/>
          <w:color w:val="auto"/>
        </w:rPr>
      </w:pPr>
      <w:r w:rsidRPr="00071A48">
        <w:rPr>
          <w:rFonts w:cs="Times New Roman"/>
        </w:rPr>
        <w:t xml:space="preserve">Digital payment systems have significantly changed the way people transfer and receive money. Mobile banking, digital wallets, QR payments, and online payment platforms allow users to complete transactions electronically without relying entirely on cash or cheques. The development of interoperable payment infrastructure has also become important for improving the efficiency and accessibility of digital payments. International organizations such as the Bank for International Settlements (BIS) identify interoperability, common standards, and regulatory cooperation as important factors in improving both domestic and cross-border payment systems </w:t>
      </w:r>
      <w:r w:rsidRPr="00071A48">
        <w:rPr>
          <w:rStyle w:val="Strong"/>
          <w:rFonts w:cs="Times New Roman"/>
          <w:b w:val="0"/>
          <w:bCs w:val="0"/>
        </w:rPr>
        <w:t>[3], [6]</w:t>
      </w:r>
      <w:r w:rsidRPr="00071A48">
        <w:rPr>
          <w:rFonts w:cs="Times New Roman"/>
          <w:b/>
          <w:bCs/>
        </w:rPr>
        <w:t>.</w:t>
      </w:r>
    </w:p>
    <w:p w14:paraId="2D010E38" w14:textId="77777777" w:rsidR="00026D98" w:rsidRPr="00071A48" w:rsidRDefault="00026D98" w:rsidP="00071A48">
      <w:pPr>
        <w:spacing w:after="0" w:line="360" w:lineRule="auto"/>
        <w:jc w:val="both"/>
        <w:rPr>
          <w:rFonts w:cs="Times New Roman"/>
        </w:rPr>
      </w:pPr>
      <w:r w:rsidRPr="00071A48">
        <w:rPr>
          <w:rFonts w:cs="Times New Roman"/>
        </w:rPr>
        <w:t xml:space="preserve">Nepal has also experienced substantial growth in digital payments through systems operated by Nepal Clearing House Limited (NCHL), banks, and payment service providers. NCHL operates important national payment infrastructure including </w:t>
      </w:r>
      <w:proofErr w:type="spellStart"/>
      <w:r w:rsidRPr="00071A48">
        <w:rPr>
          <w:rFonts w:cs="Times New Roman"/>
        </w:rPr>
        <w:t>connectIPS</w:t>
      </w:r>
      <w:proofErr w:type="spellEnd"/>
      <w:r w:rsidRPr="00071A48">
        <w:rPr>
          <w:rFonts w:cs="Times New Roman"/>
        </w:rPr>
        <w:t xml:space="preserve">, the Retail Payment Switch, National Payments Interface (NPI), and NEPALPAY QR. These systems support interoperability between banks, financial institutions, and payment service providers and have contributed to the expansion of digital payments in Nepal </w:t>
      </w:r>
      <w:r w:rsidRPr="00071A48">
        <w:rPr>
          <w:rStyle w:val="Strong"/>
          <w:rFonts w:cs="Times New Roman"/>
          <w:b w:val="0"/>
          <w:bCs w:val="0"/>
        </w:rPr>
        <w:t>[1], [2]</w:t>
      </w:r>
      <w:r w:rsidRPr="00071A48">
        <w:rPr>
          <w:rFonts w:cs="Times New Roman"/>
          <w:b/>
          <w:bCs/>
        </w:rPr>
        <w:t>.</w:t>
      </w:r>
    </w:p>
    <w:p w14:paraId="1C8B4FEA" w14:textId="35AB53E7" w:rsidR="00026D98" w:rsidRPr="00071A48" w:rsidRDefault="00026D98" w:rsidP="00071A48">
      <w:pPr>
        <w:spacing w:after="0" w:line="360" w:lineRule="auto"/>
        <w:jc w:val="both"/>
        <w:rPr>
          <w:rFonts w:cs="Times New Roman"/>
        </w:rPr>
      </w:pPr>
      <w:r w:rsidRPr="00071A48">
        <w:rPr>
          <w:rFonts w:cs="Times New Roman"/>
        </w:rPr>
        <w:t xml:space="preserve">At the global level, payment networks such as SWIFT, Visa Direct, and Mastercard Move provide infrastructure for international financial transactions. SWIFT enables financial institutions to securely exchange financial messages, while Visa Direct and Mastercard Move support the movement of funds through cards, accounts, wallets, and other payment endpoints across multiple countries and currencies </w:t>
      </w:r>
      <w:r w:rsidRPr="00071A48">
        <w:rPr>
          <w:rStyle w:val="Strong"/>
          <w:rFonts w:cs="Times New Roman"/>
          <w:b w:val="0"/>
          <w:bCs w:val="0"/>
        </w:rPr>
        <w:t>[10]</w:t>
      </w:r>
      <w:r w:rsidRPr="00071A48">
        <w:rPr>
          <w:rFonts w:cs="Times New Roman"/>
          <w:b/>
          <w:bCs/>
        </w:rPr>
        <w:t>.</w:t>
      </w:r>
    </w:p>
    <w:p w14:paraId="2785881F" w14:textId="77777777" w:rsidR="00026D98" w:rsidRPr="00071A48" w:rsidRDefault="00026D98" w:rsidP="00071A48">
      <w:pPr>
        <w:spacing w:after="0" w:line="360" w:lineRule="auto"/>
        <w:jc w:val="both"/>
        <w:rPr>
          <w:rFonts w:cs="Times New Roman"/>
        </w:rPr>
      </w:pPr>
      <w:r w:rsidRPr="00071A48">
        <w:rPr>
          <w:rFonts w:cs="Times New Roman"/>
        </w:rPr>
        <w:t xml:space="preserve">Therefore, Nepal provides an important case for comparing a rapidly developing domestic payment ecosystem with established international payment networks. This case study examines the implementation, benefits, challenges, and emerging cross-border connections of Nepal's payment infrastructure and compares them with international payment systems </w:t>
      </w:r>
      <w:r w:rsidRPr="00071A48">
        <w:rPr>
          <w:rStyle w:val="Strong"/>
          <w:rFonts w:cs="Times New Roman"/>
          <w:b w:val="0"/>
          <w:bCs w:val="0"/>
        </w:rPr>
        <w:t>[3], [6]</w:t>
      </w:r>
      <w:r w:rsidRPr="00071A48">
        <w:rPr>
          <w:rFonts w:cs="Times New Roman"/>
          <w:b/>
          <w:bCs/>
        </w:rPr>
        <w:t>.</w:t>
      </w:r>
    </w:p>
    <w:p w14:paraId="47B23EA5" w14:textId="77777777" w:rsidR="00E47E9E" w:rsidRPr="00071A48" w:rsidRDefault="00E47E9E" w:rsidP="00071A48">
      <w:pPr>
        <w:spacing w:after="0" w:line="360" w:lineRule="auto"/>
        <w:jc w:val="both"/>
        <w:rPr>
          <w:rFonts w:cs="Times New Roman"/>
        </w:rPr>
      </w:pPr>
    </w:p>
    <w:p w14:paraId="1EA24F75" w14:textId="4CA54F53" w:rsidR="004F0146" w:rsidRPr="00071A48" w:rsidRDefault="00E47E9E" w:rsidP="00071A48">
      <w:pPr>
        <w:pStyle w:val="Heading2"/>
        <w:numPr>
          <w:ilvl w:val="1"/>
          <w:numId w:val="31"/>
        </w:numPr>
        <w:spacing w:before="0" w:after="0" w:line="360" w:lineRule="auto"/>
        <w:jc w:val="both"/>
        <w:rPr>
          <w:rFonts w:cs="Times New Roman"/>
          <w:bCs/>
          <w:sz w:val="28"/>
          <w:szCs w:val="36"/>
        </w:rPr>
      </w:pPr>
      <w:r w:rsidRPr="00071A48">
        <w:rPr>
          <w:rFonts w:cs="Times New Roman"/>
          <w:bCs/>
          <w:sz w:val="28"/>
          <w:szCs w:val="36"/>
        </w:rPr>
        <w:t xml:space="preserve"> </w:t>
      </w:r>
      <w:r w:rsidR="004F0146" w:rsidRPr="00071A48">
        <w:rPr>
          <w:rFonts w:cs="Times New Roman"/>
          <w:bCs/>
          <w:sz w:val="28"/>
          <w:szCs w:val="36"/>
        </w:rPr>
        <w:t>Background</w:t>
      </w:r>
    </w:p>
    <w:p w14:paraId="5839E903" w14:textId="77777777" w:rsidR="005B6868" w:rsidRPr="00071A48" w:rsidRDefault="005B6868" w:rsidP="00071A48">
      <w:pPr>
        <w:spacing w:after="0" w:line="360" w:lineRule="auto"/>
        <w:jc w:val="both"/>
        <w:rPr>
          <w:rFonts w:cs="Times New Roman"/>
          <w:color w:val="auto"/>
        </w:rPr>
      </w:pPr>
      <w:r w:rsidRPr="00071A48">
        <w:rPr>
          <w:rFonts w:cs="Times New Roman"/>
        </w:rPr>
        <w:t xml:space="preserve">Nepal's digital payment ecosystem has developed through the combined efforts of Nepal Rastra Bank (NRB), commercial banks, payment service providers, and NCHL. NCHL operates several important payment systems, including </w:t>
      </w:r>
      <w:proofErr w:type="spellStart"/>
      <w:r w:rsidRPr="00071A48">
        <w:rPr>
          <w:rFonts w:cs="Times New Roman"/>
        </w:rPr>
        <w:t>connectIPS</w:t>
      </w:r>
      <w:proofErr w:type="spellEnd"/>
      <w:r w:rsidRPr="00071A48">
        <w:rPr>
          <w:rFonts w:cs="Times New Roman"/>
        </w:rPr>
        <w:t xml:space="preserve">, NCHL-IPS, the Retail Payment Switch, </w:t>
      </w:r>
      <w:r w:rsidRPr="00071A48">
        <w:rPr>
          <w:rFonts w:cs="Times New Roman"/>
        </w:rPr>
        <w:lastRenderedPageBreak/>
        <w:t xml:space="preserve">National Payments Interface, and NEPALPAY QR. These systems provide the infrastructure required for electronic payments and interoperability among participating financial institutions </w:t>
      </w:r>
      <w:r w:rsidRPr="00071A48">
        <w:rPr>
          <w:rStyle w:val="Strong"/>
          <w:rFonts w:cs="Times New Roman"/>
        </w:rPr>
        <w:t xml:space="preserve">[1], </w:t>
      </w:r>
      <w:r w:rsidRPr="00071A48">
        <w:rPr>
          <w:rStyle w:val="Strong"/>
          <w:rFonts w:cs="Times New Roman"/>
          <w:b w:val="0"/>
          <w:bCs w:val="0"/>
        </w:rPr>
        <w:t>[2]</w:t>
      </w:r>
      <w:r w:rsidRPr="00071A48">
        <w:rPr>
          <w:rFonts w:cs="Times New Roman"/>
          <w:b/>
          <w:bCs/>
        </w:rPr>
        <w:t>.</w:t>
      </w:r>
    </w:p>
    <w:p w14:paraId="40ACF959" w14:textId="4807F49A" w:rsidR="005B6868" w:rsidRPr="00071A48" w:rsidRDefault="005B6868" w:rsidP="00071A48">
      <w:pPr>
        <w:spacing w:after="0" w:line="360" w:lineRule="auto"/>
        <w:jc w:val="both"/>
        <w:rPr>
          <w:rFonts w:cs="Times New Roman"/>
        </w:rPr>
      </w:pPr>
      <w:proofErr w:type="spellStart"/>
      <w:r w:rsidRPr="00071A48">
        <w:rPr>
          <w:rFonts w:cs="Times New Roman"/>
        </w:rPr>
        <w:t>ConnectIPS</w:t>
      </w:r>
      <w:proofErr w:type="spellEnd"/>
      <w:r w:rsidRPr="00071A48">
        <w:rPr>
          <w:rFonts w:cs="Times New Roman"/>
        </w:rPr>
        <w:t xml:space="preserve"> is an important component of Nepal's domestic payment infrastructure because it allows customers of participating banks and financial institutions to initiate account-based payments. NCHL's National Payments Interface further provides an interoperability layer through which different payment systems and institutions can exchange payment information and process transactions </w:t>
      </w:r>
      <w:r w:rsidRPr="00071A48">
        <w:rPr>
          <w:rStyle w:val="Strong"/>
          <w:rFonts w:cs="Times New Roman"/>
          <w:b w:val="0"/>
          <w:bCs w:val="0"/>
        </w:rPr>
        <w:t>[1], [4]</w:t>
      </w:r>
      <w:r w:rsidRPr="00071A48">
        <w:rPr>
          <w:rFonts w:cs="Times New Roman"/>
          <w:b/>
          <w:bCs/>
        </w:rPr>
        <w:t>.</w:t>
      </w:r>
    </w:p>
    <w:p w14:paraId="46E69C54" w14:textId="77777777" w:rsidR="005B6868" w:rsidRPr="00071A48" w:rsidRDefault="005B6868" w:rsidP="00071A48">
      <w:pPr>
        <w:spacing w:after="0" w:line="360" w:lineRule="auto"/>
        <w:jc w:val="both"/>
        <w:rPr>
          <w:rFonts w:cs="Times New Roman"/>
        </w:rPr>
      </w:pPr>
      <w:r w:rsidRPr="00071A48">
        <w:rPr>
          <w:rFonts w:cs="Times New Roman"/>
        </w:rPr>
        <w:t xml:space="preserve">The use of digital payment services in Nepal has increased significantly in recent years. NCHL's Annual Report for FY 2024/25 reports substantial transaction activity across </w:t>
      </w:r>
      <w:proofErr w:type="spellStart"/>
      <w:r w:rsidRPr="00071A48">
        <w:rPr>
          <w:rFonts w:cs="Times New Roman"/>
        </w:rPr>
        <w:t>connectIPS</w:t>
      </w:r>
      <w:proofErr w:type="spellEnd"/>
      <w:r w:rsidRPr="00071A48">
        <w:rPr>
          <w:rFonts w:cs="Times New Roman"/>
        </w:rPr>
        <w:t xml:space="preserve"> and other payment channels, demonstrating the increasing importance of electronic payment systems in Nepal's financial sector </w:t>
      </w:r>
      <w:r w:rsidRPr="00071A48">
        <w:rPr>
          <w:rStyle w:val="Strong"/>
          <w:rFonts w:cs="Times New Roman"/>
          <w:b w:val="0"/>
          <w:bCs w:val="0"/>
        </w:rPr>
        <w:t>[1]</w:t>
      </w:r>
      <w:r w:rsidRPr="00071A48">
        <w:rPr>
          <w:rFonts w:cs="Times New Roman"/>
          <w:b/>
          <w:bCs/>
        </w:rPr>
        <w:t>.</w:t>
      </w:r>
    </w:p>
    <w:p w14:paraId="180829EB" w14:textId="77777777" w:rsidR="005B6868" w:rsidRPr="00071A48" w:rsidRDefault="005B6868" w:rsidP="00071A48">
      <w:pPr>
        <w:spacing w:after="0" w:line="360" w:lineRule="auto"/>
        <w:jc w:val="both"/>
        <w:rPr>
          <w:rFonts w:cs="Times New Roman"/>
        </w:rPr>
      </w:pPr>
      <w:r w:rsidRPr="00071A48">
        <w:rPr>
          <w:rFonts w:cs="Times New Roman"/>
        </w:rPr>
        <w:t xml:space="preserve">The development of domestic payment infrastructure also provides a foundation for cross-border connectivity. According to BIS, stronger domestic payment infrastructure and interoperability can support the development of more efficient cross-border payment arrangements by allowing domestic systems to connect with payment systems in other countries </w:t>
      </w:r>
      <w:r w:rsidRPr="00071A48">
        <w:rPr>
          <w:rStyle w:val="Strong"/>
          <w:rFonts w:cs="Times New Roman"/>
          <w:b w:val="0"/>
          <w:bCs w:val="0"/>
        </w:rPr>
        <w:t>[6], [7]</w:t>
      </w:r>
      <w:r w:rsidRPr="00071A48">
        <w:rPr>
          <w:rFonts w:cs="Times New Roman"/>
          <w:b/>
          <w:bCs/>
        </w:rPr>
        <w:t>.</w:t>
      </w:r>
    </w:p>
    <w:p w14:paraId="0C3CE953" w14:textId="77777777" w:rsidR="005B6868" w:rsidRPr="00071A48" w:rsidRDefault="005B6868" w:rsidP="00071A48">
      <w:pPr>
        <w:spacing w:after="0" w:line="360" w:lineRule="auto"/>
        <w:jc w:val="both"/>
        <w:rPr>
          <w:rFonts w:cs="Times New Roman"/>
        </w:rPr>
      </w:pPr>
      <w:r w:rsidRPr="00071A48">
        <w:rPr>
          <w:rFonts w:cs="Times New Roman"/>
        </w:rPr>
        <w:t xml:space="preserve">At the international level, SWIFT provides a communication network through which financial institutions exchange messages related to international transactions. SWIFT does not itself transfer or hold customers' money; instead, it provides the messaging infrastructure that supports financial institutions in processing cross-border payments </w:t>
      </w:r>
      <w:r w:rsidRPr="00071A48">
        <w:rPr>
          <w:rStyle w:val="Strong"/>
          <w:rFonts w:cs="Times New Roman"/>
          <w:b w:val="0"/>
          <w:bCs w:val="0"/>
        </w:rPr>
        <w:t>[8]</w:t>
      </w:r>
      <w:r w:rsidRPr="00071A48">
        <w:rPr>
          <w:rFonts w:cs="Times New Roman"/>
          <w:b/>
          <w:bCs/>
        </w:rPr>
        <w:t>.</w:t>
      </w:r>
    </w:p>
    <w:p w14:paraId="17CFDD89" w14:textId="254E1204" w:rsidR="005B6868" w:rsidRPr="00071A48" w:rsidRDefault="005B6868" w:rsidP="00071A48">
      <w:pPr>
        <w:spacing w:after="0" w:line="360" w:lineRule="auto"/>
        <w:jc w:val="both"/>
        <w:rPr>
          <w:rFonts w:cs="Times New Roman"/>
        </w:rPr>
      </w:pPr>
      <w:r w:rsidRPr="00071A48">
        <w:rPr>
          <w:rFonts w:cs="Times New Roman"/>
        </w:rPr>
        <w:t xml:space="preserve">Visa Direct and Mastercard Move represent another approach to international payments. Visa Direct supports money movement through eligible cards, accounts, and wallets across international markets, while Mastercard Move provides international money movement through different payment endpoints and currencies </w:t>
      </w:r>
      <w:r w:rsidRPr="00071A48">
        <w:rPr>
          <w:rStyle w:val="Strong"/>
          <w:rFonts w:cs="Times New Roman"/>
          <w:b w:val="0"/>
          <w:bCs w:val="0"/>
        </w:rPr>
        <w:t>[9], [10]</w:t>
      </w:r>
      <w:r w:rsidRPr="00071A48">
        <w:rPr>
          <w:rFonts w:cs="Times New Roman"/>
          <w:b/>
          <w:bCs/>
        </w:rPr>
        <w:t>.</w:t>
      </w:r>
    </w:p>
    <w:p w14:paraId="72362515" w14:textId="7CC49388" w:rsidR="00265E5B" w:rsidRPr="00071A48" w:rsidRDefault="00C6260B" w:rsidP="00071A48">
      <w:pPr>
        <w:pStyle w:val="Heading2"/>
        <w:spacing w:before="0" w:after="0" w:line="360" w:lineRule="auto"/>
        <w:jc w:val="both"/>
        <w:rPr>
          <w:rFonts w:cs="Times New Roman"/>
          <w:bCs/>
          <w:sz w:val="28"/>
          <w:szCs w:val="36"/>
        </w:rPr>
      </w:pPr>
      <w:r w:rsidRPr="00071A48">
        <w:rPr>
          <w:rFonts w:cs="Times New Roman"/>
          <w:bCs/>
          <w:sz w:val="28"/>
          <w:szCs w:val="36"/>
        </w:rPr>
        <w:lastRenderedPageBreak/>
        <w:t xml:space="preserve">1.2 </w:t>
      </w:r>
      <w:r w:rsidR="004F0146" w:rsidRPr="00071A48">
        <w:rPr>
          <w:rFonts w:cs="Times New Roman"/>
          <w:bCs/>
          <w:sz w:val="28"/>
          <w:szCs w:val="36"/>
        </w:rPr>
        <w:t>Problem Statement</w:t>
      </w:r>
    </w:p>
    <w:p w14:paraId="1FED35B4" w14:textId="68548EEF" w:rsidR="005B6868" w:rsidRPr="00071A48" w:rsidRDefault="005B6868" w:rsidP="00071A48">
      <w:pPr>
        <w:pStyle w:val="Heading2"/>
        <w:spacing w:before="0" w:after="0" w:line="360" w:lineRule="auto"/>
        <w:jc w:val="both"/>
        <w:rPr>
          <w:rFonts w:cs="Times New Roman"/>
          <w:bCs/>
          <w:sz w:val="28"/>
          <w:szCs w:val="36"/>
        </w:rPr>
      </w:pPr>
      <w:r w:rsidRPr="00071A48">
        <w:rPr>
          <w:rFonts w:eastAsiaTheme="minorHAnsi" w:cs="Times New Roman"/>
          <w:b w:val="0"/>
          <w:szCs w:val="24"/>
        </w:rPr>
        <w:t xml:space="preserve">Nepal has made considerable progress in developing its domestic digital payment infrastructure, but domestic payment growth does not automatically provide the same level of international connectivity. Cross-border transactions require interoperability between different payment systems, technical compatibility, regulatory coordination, foreign-exchange arrangements, and appropriate clearing and settlement mechanisms. BIS identifies cost, speed, transparency, access, and interoperability as important challenges affecting cross-border payments. Nepal has started addressing this issue through NCHL's </w:t>
      </w:r>
      <w:proofErr w:type="spellStart"/>
      <w:r w:rsidRPr="00071A48">
        <w:rPr>
          <w:rFonts w:eastAsiaTheme="minorHAnsi" w:cs="Times New Roman"/>
          <w:b w:val="0"/>
          <w:szCs w:val="24"/>
        </w:rPr>
        <w:t>NPIx</w:t>
      </w:r>
      <w:proofErr w:type="spellEnd"/>
      <w:r w:rsidRPr="00071A48">
        <w:rPr>
          <w:rFonts w:eastAsiaTheme="minorHAnsi" w:cs="Times New Roman"/>
          <w:b w:val="0"/>
          <w:szCs w:val="24"/>
        </w:rPr>
        <w:t xml:space="preserve"> infrastructure and partnerships with international payment systems, but cross-border payment connectivity remains less developed than domestic digital payments. Therefore, the main problem addressed by this case study is the gap between Nepal's increasingly developed domestic digital payment infrastructure and the wider international payment environment, particularly the technical, regulatory, operational, and interoperability challenges involved in establishing secure, affordable, efficient, and accessible cross-border payment services.</w:t>
      </w:r>
    </w:p>
    <w:p w14:paraId="61E9F607" w14:textId="1CA27848" w:rsidR="004F0146" w:rsidRPr="00071A48" w:rsidRDefault="00265E5B" w:rsidP="00071A48">
      <w:pPr>
        <w:pStyle w:val="Heading2"/>
        <w:spacing w:after="0" w:line="360" w:lineRule="auto"/>
        <w:jc w:val="both"/>
        <w:rPr>
          <w:rFonts w:cs="Times New Roman"/>
          <w:bCs/>
          <w:sz w:val="28"/>
          <w:szCs w:val="36"/>
        </w:rPr>
      </w:pPr>
      <w:r w:rsidRPr="00071A48">
        <w:rPr>
          <w:rFonts w:cs="Times New Roman"/>
          <w:bCs/>
          <w:sz w:val="28"/>
          <w:szCs w:val="36"/>
        </w:rPr>
        <w:t xml:space="preserve">1.3 </w:t>
      </w:r>
      <w:r w:rsidR="004F0146" w:rsidRPr="00071A48">
        <w:rPr>
          <w:rFonts w:cs="Times New Roman"/>
          <w:bCs/>
          <w:sz w:val="28"/>
          <w:szCs w:val="36"/>
        </w:rPr>
        <w:t>Objectives</w:t>
      </w:r>
    </w:p>
    <w:p w14:paraId="7EADCE7A" w14:textId="77777777" w:rsidR="00B64247" w:rsidRPr="00071A48" w:rsidRDefault="00B64247" w:rsidP="00071A48">
      <w:pPr>
        <w:spacing w:after="0" w:line="360" w:lineRule="auto"/>
        <w:jc w:val="both"/>
        <w:rPr>
          <w:rFonts w:cs="Times New Roman"/>
          <w:color w:val="auto"/>
        </w:rPr>
      </w:pPr>
      <w:r w:rsidRPr="00071A48">
        <w:rPr>
          <w:rFonts w:cs="Times New Roman"/>
        </w:rPr>
        <w:t>The main objectives of this case study are:</w:t>
      </w:r>
    </w:p>
    <w:p w14:paraId="5A08F408" w14:textId="77777777" w:rsidR="00E775D4" w:rsidRPr="00071A48" w:rsidRDefault="00E775D4" w:rsidP="00071A48">
      <w:pPr>
        <w:pStyle w:val="ListParagraph"/>
        <w:numPr>
          <w:ilvl w:val="0"/>
          <w:numId w:val="30"/>
        </w:numPr>
        <w:spacing w:after="0" w:line="360" w:lineRule="auto"/>
        <w:jc w:val="both"/>
        <w:rPr>
          <w:rFonts w:cs="Times New Roman"/>
          <w:color w:val="auto"/>
        </w:rPr>
      </w:pPr>
      <w:r w:rsidRPr="00071A48">
        <w:rPr>
          <w:rFonts w:cs="Times New Roman"/>
          <w:color w:val="auto"/>
        </w:rPr>
        <w:t>To compare Nepal's domestic payment infrastructure with international payment networks such as SWIFT, Visa Direct, and Mastercard Move.</w:t>
      </w:r>
    </w:p>
    <w:p w14:paraId="292CB797" w14:textId="77777777" w:rsidR="00E775D4" w:rsidRPr="00071A48" w:rsidRDefault="00E775D4" w:rsidP="00071A48">
      <w:pPr>
        <w:pStyle w:val="ListParagraph"/>
        <w:numPr>
          <w:ilvl w:val="0"/>
          <w:numId w:val="30"/>
        </w:numPr>
        <w:spacing w:after="0" w:line="360" w:lineRule="auto"/>
        <w:jc w:val="both"/>
        <w:rPr>
          <w:rFonts w:cs="Times New Roman"/>
          <w:color w:val="auto"/>
        </w:rPr>
      </w:pPr>
      <w:r w:rsidRPr="00071A48">
        <w:rPr>
          <w:rFonts w:cs="Times New Roman"/>
          <w:color w:val="auto"/>
        </w:rPr>
        <w:t>To identify the major technical, regulatory, and operational challenges associated with cross-border digital payments.</w:t>
      </w:r>
    </w:p>
    <w:p w14:paraId="5C0C7E17" w14:textId="338BE416" w:rsidR="00E775D4" w:rsidRDefault="00E775D4" w:rsidP="00071A48">
      <w:pPr>
        <w:pStyle w:val="ListParagraph"/>
        <w:numPr>
          <w:ilvl w:val="0"/>
          <w:numId w:val="30"/>
        </w:numPr>
        <w:spacing w:after="0" w:line="360" w:lineRule="auto"/>
        <w:jc w:val="both"/>
        <w:rPr>
          <w:rFonts w:cs="Times New Roman"/>
          <w:color w:val="auto"/>
        </w:rPr>
      </w:pPr>
      <w:r w:rsidRPr="00071A48">
        <w:rPr>
          <w:rFonts w:cs="Times New Roman"/>
          <w:color w:val="auto"/>
        </w:rPr>
        <w:t>To examine the role of interoperability in connecting Nepal's payment infrastructure with international payment systems.</w:t>
      </w:r>
    </w:p>
    <w:p w14:paraId="0FE650F9" w14:textId="77777777" w:rsidR="00FD52EC" w:rsidRDefault="00FD52EC" w:rsidP="00FD52EC">
      <w:pPr>
        <w:spacing w:after="0" w:line="360" w:lineRule="auto"/>
        <w:jc w:val="both"/>
        <w:rPr>
          <w:rFonts w:cs="Times New Roman"/>
          <w:color w:val="auto"/>
        </w:rPr>
      </w:pPr>
    </w:p>
    <w:p w14:paraId="645BD989" w14:textId="77777777" w:rsidR="00FD52EC" w:rsidRDefault="00FD52EC" w:rsidP="00FD52EC">
      <w:pPr>
        <w:spacing w:after="0" w:line="360" w:lineRule="auto"/>
        <w:jc w:val="both"/>
        <w:rPr>
          <w:rFonts w:cs="Times New Roman"/>
          <w:color w:val="auto"/>
        </w:rPr>
      </w:pPr>
    </w:p>
    <w:p w14:paraId="6D6FCB2B" w14:textId="77777777" w:rsidR="00FD52EC" w:rsidRDefault="00FD52EC" w:rsidP="00FD52EC">
      <w:pPr>
        <w:spacing w:after="0" w:line="360" w:lineRule="auto"/>
        <w:jc w:val="both"/>
        <w:rPr>
          <w:rFonts w:cs="Times New Roman"/>
          <w:color w:val="auto"/>
        </w:rPr>
      </w:pPr>
    </w:p>
    <w:p w14:paraId="3CE1B4D5" w14:textId="77777777" w:rsidR="00FD52EC" w:rsidRDefault="00FD52EC" w:rsidP="00FD52EC">
      <w:pPr>
        <w:spacing w:after="0" w:line="360" w:lineRule="auto"/>
        <w:jc w:val="both"/>
        <w:rPr>
          <w:rFonts w:cs="Times New Roman"/>
          <w:color w:val="auto"/>
        </w:rPr>
      </w:pPr>
    </w:p>
    <w:p w14:paraId="5B85D172" w14:textId="77777777" w:rsidR="00FD52EC" w:rsidRPr="00FD52EC" w:rsidRDefault="00FD52EC" w:rsidP="00FD52EC">
      <w:pPr>
        <w:spacing w:after="0" w:line="360" w:lineRule="auto"/>
        <w:jc w:val="both"/>
        <w:rPr>
          <w:rFonts w:cs="Times New Roman"/>
          <w:color w:val="auto"/>
        </w:rPr>
      </w:pPr>
    </w:p>
    <w:p w14:paraId="168CE21D" w14:textId="275B975A" w:rsidR="004F0146" w:rsidRPr="00071A48" w:rsidRDefault="00C6260B" w:rsidP="00FD52EC">
      <w:pPr>
        <w:pStyle w:val="Heading1"/>
        <w:spacing w:after="0" w:line="360" w:lineRule="auto"/>
        <w:rPr>
          <w:rFonts w:cs="Times New Roman"/>
          <w:sz w:val="32"/>
          <w:szCs w:val="32"/>
        </w:rPr>
      </w:pPr>
      <w:r w:rsidRPr="00071A48">
        <w:rPr>
          <w:rFonts w:cs="Times New Roman"/>
          <w:sz w:val="32"/>
          <w:szCs w:val="32"/>
        </w:rPr>
        <w:lastRenderedPageBreak/>
        <w:t xml:space="preserve">2. </w:t>
      </w:r>
      <w:r w:rsidR="00E62D4B" w:rsidRPr="00071A48">
        <w:rPr>
          <w:rFonts w:cs="Times New Roman"/>
          <w:sz w:val="32"/>
          <w:szCs w:val="32"/>
        </w:rPr>
        <w:t>Implementation</w:t>
      </w:r>
    </w:p>
    <w:p w14:paraId="06ADCB6F" w14:textId="77777777" w:rsidR="00E775D4" w:rsidRPr="00071A48" w:rsidRDefault="00E775D4" w:rsidP="00071A48">
      <w:pPr>
        <w:spacing w:after="0" w:line="360" w:lineRule="auto"/>
        <w:jc w:val="both"/>
        <w:rPr>
          <w:rFonts w:cs="Times New Roman"/>
          <w:bCs/>
          <w:sz w:val="28"/>
          <w:szCs w:val="36"/>
        </w:rPr>
      </w:pPr>
      <w:r w:rsidRPr="00071A48">
        <w:rPr>
          <w:rFonts w:cs="Times New Roman"/>
        </w:rPr>
        <w:t xml:space="preserve">Nepal's payment-system development has followed a gradual process in which domestic payment infrastructure was strengthened before wider international connections were introduced. NCHL has developed domestic infrastructure through systems such as the Retail Payment Switch and National Payments Interface and has subsequently introduced </w:t>
      </w:r>
      <w:proofErr w:type="spellStart"/>
      <w:r w:rsidRPr="00071A48">
        <w:rPr>
          <w:rFonts w:cs="Times New Roman"/>
        </w:rPr>
        <w:t>NPIx</w:t>
      </w:r>
      <w:proofErr w:type="spellEnd"/>
      <w:r w:rsidRPr="00071A48">
        <w:rPr>
          <w:rFonts w:cs="Times New Roman"/>
        </w:rPr>
        <w:t xml:space="preserve"> to support cross-border payment connectivity. This approach is consistent with international recommendations that emphasize interoperability and common standards as important components of efficient cross-border payments </w:t>
      </w:r>
      <w:r w:rsidRPr="00071A48">
        <w:rPr>
          <w:rFonts w:cs="Times New Roman"/>
          <w:bCs/>
        </w:rPr>
        <w:t>[1], [4], [6]</w:t>
      </w:r>
      <w:r w:rsidRPr="00071A48">
        <w:rPr>
          <w:rFonts w:cs="Times New Roman"/>
        </w:rPr>
        <w:t>.</w:t>
      </w:r>
    </w:p>
    <w:p w14:paraId="26253C80" w14:textId="2B3761C0" w:rsidR="00EE1A50" w:rsidRPr="00071A48" w:rsidRDefault="00EE1A50" w:rsidP="00FD52EC">
      <w:pPr>
        <w:pStyle w:val="Heading2"/>
        <w:spacing w:after="0" w:line="360" w:lineRule="auto"/>
        <w:ind w:left="360" w:hanging="450"/>
        <w:jc w:val="both"/>
        <w:rPr>
          <w:rFonts w:cs="Times New Roman"/>
          <w:bCs/>
          <w:sz w:val="28"/>
          <w:szCs w:val="36"/>
        </w:rPr>
      </w:pPr>
      <w:r w:rsidRPr="00071A48">
        <w:rPr>
          <w:rFonts w:cs="Times New Roman"/>
          <w:bCs/>
          <w:sz w:val="28"/>
          <w:szCs w:val="36"/>
        </w:rPr>
        <w:t>2.1 Solution</w:t>
      </w:r>
    </w:p>
    <w:p w14:paraId="778119F0" w14:textId="5E1EF2AB" w:rsidR="00BA7A1C" w:rsidRPr="00071A48" w:rsidRDefault="00BA7A1C" w:rsidP="00071A48">
      <w:pPr>
        <w:spacing w:after="0" w:line="360" w:lineRule="auto"/>
        <w:jc w:val="both"/>
        <w:rPr>
          <w:rFonts w:eastAsiaTheme="majorEastAsia" w:cs="Times New Roman"/>
          <w:szCs w:val="32"/>
          <w:lang w:val="en-GB"/>
        </w:rPr>
      </w:pPr>
      <w:r w:rsidRPr="00071A48">
        <w:rPr>
          <w:rFonts w:eastAsiaTheme="majorEastAsia" w:cs="Times New Roman"/>
          <w:szCs w:val="32"/>
          <w:lang w:val="en-GB"/>
        </w:rPr>
        <w:t xml:space="preserve">To address the gap between Nepal's domestic payment infrastructure and international payment networks, Nepal has focused on improving interoperability rather than replacing its existing payment infrastructure. NCHL operates systems such as the National Payment Switch, </w:t>
      </w:r>
      <w:proofErr w:type="spellStart"/>
      <w:r w:rsidRPr="00071A48">
        <w:rPr>
          <w:rFonts w:eastAsiaTheme="majorEastAsia" w:cs="Times New Roman"/>
          <w:szCs w:val="32"/>
          <w:lang w:val="en-GB"/>
        </w:rPr>
        <w:t>connectIPS</w:t>
      </w:r>
      <w:proofErr w:type="spellEnd"/>
      <w:r w:rsidRPr="00071A48">
        <w:rPr>
          <w:rFonts w:eastAsiaTheme="majorEastAsia" w:cs="Times New Roman"/>
          <w:szCs w:val="32"/>
          <w:lang w:val="en-GB"/>
        </w:rPr>
        <w:t>, and National Payments Interface, which allow participating banks, financial institutions, and payment service providers to connect and process electronic transactions through a common infrastructure [1], [2]</w:t>
      </w:r>
      <w:r w:rsidR="005322EC" w:rsidRPr="00071A48">
        <w:rPr>
          <w:rFonts w:eastAsiaTheme="majorEastAsia" w:cs="Times New Roman"/>
          <w:szCs w:val="32"/>
          <w:lang w:val="en-GB"/>
        </w:rPr>
        <w:t xml:space="preserve">. </w:t>
      </w:r>
      <w:r w:rsidRPr="00071A48">
        <w:rPr>
          <w:rFonts w:eastAsiaTheme="majorEastAsia" w:cs="Times New Roman"/>
          <w:szCs w:val="32"/>
          <w:lang w:val="en-GB"/>
        </w:rPr>
        <w:t xml:space="preserve">NCHL has also introduced </w:t>
      </w:r>
      <w:proofErr w:type="spellStart"/>
      <w:r w:rsidRPr="00071A48">
        <w:rPr>
          <w:rFonts w:eastAsiaTheme="majorEastAsia" w:cs="Times New Roman"/>
          <w:szCs w:val="32"/>
          <w:lang w:val="en-GB"/>
        </w:rPr>
        <w:t>NPIx</w:t>
      </w:r>
      <w:proofErr w:type="spellEnd"/>
      <w:r w:rsidRPr="00071A48">
        <w:rPr>
          <w:rFonts w:eastAsiaTheme="majorEastAsia" w:cs="Times New Roman"/>
          <w:szCs w:val="32"/>
          <w:lang w:val="en-GB"/>
        </w:rPr>
        <w:t xml:space="preserve"> as a cross-border payment layer. The </w:t>
      </w:r>
      <w:proofErr w:type="spellStart"/>
      <w:r w:rsidRPr="00071A48">
        <w:rPr>
          <w:rFonts w:eastAsiaTheme="majorEastAsia" w:cs="Times New Roman"/>
          <w:szCs w:val="32"/>
          <w:lang w:val="en-GB"/>
        </w:rPr>
        <w:t>NPIx</w:t>
      </w:r>
      <w:proofErr w:type="spellEnd"/>
      <w:r w:rsidRPr="00071A48">
        <w:rPr>
          <w:rFonts w:eastAsiaTheme="majorEastAsia" w:cs="Times New Roman"/>
          <w:szCs w:val="32"/>
          <w:lang w:val="en-GB"/>
        </w:rPr>
        <w:t xml:space="preserve"> framework is designed to connect Nepal's domestic payment infrastructure with international payment partners and payment systems. Its operating rules define the technical, operational, settlement, and participation requirements for cross-border transactions [4].</w:t>
      </w:r>
    </w:p>
    <w:p w14:paraId="02954122" w14:textId="4B7F0227" w:rsidR="00BA7A1C" w:rsidRPr="00071A48" w:rsidRDefault="00BA7A1C" w:rsidP="00071A48">
      <w:pPr>
        <w:spacing w:after="0" w:line="360" w:lineRule="auto"/>
        <w:jc w:val="both"/>
        <w:rPr>
          <w:rFonts w:eastAsiaTheme="majorEastAsia" w:cs="Times New Roman"/>
          <w:szCs w:val="32"/>
          <w:lang w:val="en-GB"/>
        </w:rPr>
      </w:pPr>
      <w:r w:rsidRPr="00071A48">
        <w:rPr>
          <w:rFonts w:eastAsiaTheme="majorEastAsia" w:cs="Times New Roman"/>
          <w:szCs w:val="32"/>
          <w:lang w:val="en-GB"/>
        </w:rPr>
        <w:t>Another important solution is cross-border QR payment connectivity. NCHL has connected NEPALPAY QR with Alipay+, allowing users of supported international payment applications to make payments at participating Nepali merchants. This provides international visitors with a familiar digital payment method while allowing Nepali merchants to receive payments through existing domestic QR infrastructure [5]</w:t>
      </w:r>
      <w:r w:rsidR="005322EC" w:rsidRPr="00071A48">
        <w:rPr>
          <w:rFonts w:eastAsiaTheme="majorEastAsia" w:cs="Times New Roman"/>
          <w:szCs w:val="32"/>
          <w:lang w:val="en-GB"/>
        </w:rPr>
        <w:t xml:space="preserve">. </w:t>
      </w:r>
      <w:r w:rsidRPr="00071A48">
        <w:rPr>
          <w:rFonts w:eastAsiaTheme="majorEastAsia" w:cs="Times New Roman"/>
          <w:szCs w:val="32"/>
          <w:lang w:val="en-GB"/>
        </w:rPr>
        <w:t xml:space="preserve">Nepal has also been developing additional international payment corridors. NCHL's FY 2024/25 Annual Report identifies international connectivity through </w:t>
      </w:r>
      <w:proofErr w:type="spellStart"/>
      <w:r w:rsidRPr="00071A48">
        <w:rPr>
          <w:rFonts w:eastAsiaTheme="majorEastAsia" w:cs="Times New Roman"/>
          <w:szCs w:val="32"/>
          <w:lang w:val="en-GB"/>
        </w:rPr>
        <w:t>NPIx</w:t>
      </w:r>
      <w:proofErr w:type="spellEnd"/>
      <w:r w:rsidRPr="00071A48">
        <w:rPr>
          <w:rFonts w:eastAsiaTheme="majorEastAsia" w:cs="Times New Roman"/>
          <w:szCs w:val="32"/>
          <w:lang w:val="en-GB"/>
        </w:rPr>
        <w:t>, including its connection with Alipay+ and a closed-user-group arrangement with India's UPI. These developments demonstrate Nepal's movement toward greater interoperability between domestic and international payment systems [1].</w:t>
      </w:r>
      <w:r w:rsidR="005322EC" w:rsidRPr="00071A48">
        <w:rPr>
          <w:rFonts w:eastAsiaTheme="majorEastAsia" w:cs="Times New Roman"/>
          <w:szCs w:val="32"/>
          <w:lang w:val="en-GB"/>
        </w:rPr>
        <w:t xml:space="preserve"> </w:t>
      </w:r>
      <w:r w:rsidRPr="00071A48">
        <w:rPr>
          <w:rFonts w:eastAsiaTheme="majorEastAsia" w:cs="Times New Roman"/>
          <w:szCs w:val="32"/>
          <w:lang w:val="en-GB"/>
        </w:rPr>
        <w:t xml:space="preserve">At the global level, SWIFT provides secure messaging infrastructure for financial institutions, while Visa Direct and Mastercard Move provide mechanisms for moving funds through cards, accounts, wallets, and other payment endpoints across international markets </w:t>
      </w:r>
      <w:r w:rsidRPr="00071A48">
        <w:rPr>
          <w:rFonts w:eastAsiaTheme="majorEastAsia" w:cs="Times New Roman"/>
          <w:b/>
          <w:bCs/>
          <w:szCs w:val="32"/>
          <w:lang w:val="en-GB"/>
        </w:rPr>
        <w:t>[</w:t>
      </w:r>
      <w:r w:rsidRPr="00071A48">
        <w:rPr>
          <w:rFonts w:eastAsiaTheme="majorEastAsia" w:cs="Times New Roman"/>
          <w:szCs w:val="32"/>
          <w:lang w:val="en-GB"/>
        </w:rPr>
        <w:t>8].</w:t>
      </w:r>
    </w:p>
    <w:p w14:paraId="740D947D" w14:textId="2478D1E5" w:rsidR="00071A48" w:rsidRPr="00071A48" w:rsidRDefault="00BA7A1C" w:rsidP="00071A48">
      <w:pPr>
        <w:spacing w:after="0" w:line="360" w:lineRule="auto"/>
        <w:jc w:val="both"/>
        <w:rPr>
          <w:rFonts w:eastAsiaTheme="majorEastAsia" w:cs="Times New Roman"/>
          <w:szCs w:val="32"/>
          <w:lang w:val="en-GB"/>
        </w:rPr>
      </w:pPr>
      <w:r w:rsidRPr="00071A48">
        <w:rPr>
          <w:rFonts w:eastAsiaTheme="majorEastAsia" w:cs="Times New Roman"/>
          <w:szCs w:val="32"/>
          <w:lang w:val="en-GB"/>
        </w:rPr>
        <w:lastRenderedPageBreak/>
        <w:t>Therefore, the main solution for Nepal is to connect its existing domestic payment infrastructure with suitable international payment systems. This interoperability-based approach can improve international payment accessibility while allowing Nepal to maintain its domestic payment infrastructure and regulatory requirements [3], [4], [6].</w:t>
      </w:r>
    </w:p>
    <w:p w14:paraId="2B12F51D" w14:textId="0FBAD63A" w:rsidR="00006217" w:rsidRPr="00071A48" w:rsidRDefault="00453DAA" w:rsidP="00FD52EC">
      <w:pPr>
        <w:spacing w:before="240" w:after="0" w:line="360" w:lineRule="auto"/>
        <w:jc w:val="both"/>
        <w:rPr>
          <w:rFonts w:cs="Times New Roman"/>
          <w:b/>
          <w:bCs/>
          <w:sz w:val="28"/>
          <w:szCs w:val="36"/>
        </w:rPr>
      </w:pPr>
      <w:r w:rsidRPr="00071A48">
        <w:rPr>
          <w:rFonts w:cs="Times New Roman"/>
          <w:b/>
          <w:bCs/>
          <w:sz w:val="28"/>
          <w:szCs w:val="36"/>
        </w:rPr>
        <w:t xml:space="preserve">2.2 </w:t>
      </w:r>
      <w:r w:rsidR="004F0146" w:rsidRPr="00071A48">
        <w:rPr>
          <w:rFonts w:cs="Times New Roman"/>
          <w:b/>
          <w:bCs/>
          <w:sz w:val="28"/>
          <w:szCs w:val="36"/>
        </w:rPr>
        <w:t>Implementation Strategy</w:t>
      </w:r>
    </w:p>
    <w:p w14:paraId="0EF99364" w14:textId="77777777" w:rsidR="00C53F50" w:rsidRPr="00071A48" w:rsidRDefault="00C53F50" w:rsidP="00071A48">
      <w:pPr>
        <w:spacing w:after="0" w:line="360" w:lineRule="auto"/>
        <w:jc w:val="both"/>
        <w:rPr>
          <w:rFonts w:cs="Times New Roman"/>
          <w:color w:val="auto"/>
        </w:rPr>
      </w:pPr>
      <w:r w:rsidRPr="00071A48">
        <w:rPr>
          <w:rFonts w:cs="Times New Roman"/>
        </w:rPr>
        <w:t xml:space="preserve">Nepal has adopted a gradual and regulated strategy for developing cross-border payment connectivity. Rather than immediately integrating all international payment networks, Nepal has first strengthened its domestic payment infrastructure and then developed specific connections with international payment partners through </w:t>
      </w:r>
      <w:proofErr w:type="spellStart"/>
      <w:r w:rsidRPr="00071A48">
        <w:rPr>
          <w:rFonts w:cs="Times New Roman"/>
        </w:rPr>
        <w:t>NPIx</w:t>
      </w:r>
      <w:proofErr w:type="spellEnd"/>
      <w:r w:rsidRPr="00071A48">
        <w:rPr>
          <w:rFonts w:cs="Times New Roman"/>
        </w:rPr>
        <w:t xml:space="preserve"> and other mechanisms </w:t>
      </w:r>
      <w:r w:rsidRPr="00071A48">
        <w:rPr>
          <w:rStyle w:val="Strong"/>
          <w:rFonts w:cs="Times New Roman"/>
          <w:b w:val="0"/>
          <w:bCs w:val="0"/>
        </w:rPr>
        <w:t>[1], [4]</w:t>
      </w:r>
      <w:r w:rsidRPr="00071A48">
        <w:rPr>
          <w:rFonts w:cs="Times New Roman"/>
          <w:b/>
          <w:bCs/>
        </w:rPr>
        <w:t>.</w:t>
      </w:r>
    </w:p>
    <w:p w14:paraId="179818C1" w14:textId="77777777" w:rsidR="00C53F50" w:rsidRPr="00071A48" w:rsidRDefault="00C53F50" w:rsidP="00071A48">
      <w:pPr>
        <w:spacing w:after="0" w:line="360" w:lineRule="auto"/>
        <w:jc w:val="both"/>
        <w:rPr>
          <w:rFonts w:cs="Times New Roman"/>
        </w:rPr>
      </w:pPr>
      <w:r w:rsidRPr="00071A48">
        <w:rPr>
          <w:rFonts w:cs="Times New Roman"/>
        </w:rPr>
        <w:t xml:space="preserve">The first part of the strategy is strengthening domestic interoperability. Systems such as </w:t>
      </w:r>
      <w:proofErr w:type="spellStart"/>
      <w:r w:rsidRPr="00071A48">
        <w:rPr>
          <w:rFonts w:cs="Times New Roman"/>
        </w:rPr>
        <w:t>connectIPS</w:t>
      </w:r>
      <w:proofErr w:type="spellEnd"/>
      <w:r w:rsidRPr="00071A48">
        <w:rPr>
          <w:rFonts w:cs="Times New Roman"/>
        </w:rPr>
        <w:t xml:space="preserve">, the Retail Payment Switch, and National Payments Interface provide the technical foundation for connecting banks, financial institutions, and payment service providers. This domestic infrastructure allows international connections to be built on top of an established national payment environment </w:t>
      </w:r>
      <w:r w:rsidRPr="00071A48">
        <w:rPr>
          <w:rStyle w:val="Strong"/>
          <w:rFonts w:cs="Times New Roman"/>
          <w:b w:val="0"/>
          <w:bCs w:val="0"/>
        </w:rPr>
        <w:t>[1], [2]</w:t>
      </w:r>
      <w:r w:rsidRPr="00071A48">
        <w:rPr>
          <w:rFonts w:cs="Times New Roman"/>
          <w:b/>
          <w:bCs/>
        </w:rPr>
        <w:t>.</w:t>
      </w:r>
    </w:p>
    <w:p w14:paraId="40FA6B25" w14:textId="77777777" w:rsidR="00C53F50" w:rsidRPr="00071A48" w:rsidRDefault="00C53F50" w:rsidP="00071A48">
      <w:pPr>
        <w:spacing w:after="0" w:line="360" w:lineRule="auto"/>
        <w:jc w:val="both"/>
        <w:rPr>
          <w:rFonts w:cs="Times New Roman"/>
        </w:rPr>
      </w:pPr>
      <w:r w:rsidRPr="00071A48">
        <w:rPr>
          <w:rFonts w:cs="Times New Roman"/>
        </w:rPr>
        <w:t xml:space="preserve">The second part of the strategy involves establishing partnerships with international payment networks and payment providers. The Alipay+ integration with NEPALPAY QR is an example of this approach, as international users can make payments in Nepal through supported payment applications while the domestic merchant infrastructure continues to operate through NEPALPAY QR </w:t>
      </w:r>
      <w:r w:rsidRPr="00071A48">
        <w:rPr>
          <w:rStyle w:val="Strong"/>
          <w:rFonts w:cs="Times New Roman"/>
          <w:b w:val="0"/>
          <w:bCs w:val="0"/>
        </w:rPr>
        <w:t>[5]</w:t>
      </w:r>
      <w:r w:rsidRPr="00071A48">
        <w:rPr>
          <w:rFonts w:cs="Times New Roman"/>
          <w:b/>
          <w:bCs/>
        </w:rPr>
        <w:t>.</w:t>
      </w:r>
    </w:p>
    <w:p w14:paraId="61ED4BC6" w14:textId="77777777" w:rsidR="00C53F50" w:rsidRPr="00071A48" w:rsidRDefault="00C53F50" w:rsidP="00071A48">
      <w:pPr>
        <w:spacing w:after="0" w:line="360" w:lineRule="auto"/>
        <w:jc w:val="both"/>
        <w:rPr>
          <w:rFonts w:cs="Times New Roman"/>
        </w:rPr>
      </w:pPr>
      <w:r w:rsidRPr="00071A48">
        <w:rPr>
          <w:rFonts w:cs="Times New Roman"/>
        </w:rPr>
        <w:t xml:space="preserve">The third part involves maintaining appropriate regulatory and operational controls. </w:t>
      </w:r>
      <w:proofErr w:type="spellStart"/>
      <w:r w:rsidRPr="00071A48">
        <w:rPr>
          <w:rFonts w:cs="Times New Roman"/>
        </w:rPr>
        <w:t>NPIx</w:t>
      </w:r>
      <w:proofErr w:type="spellEnd"/>
      <w:r w:rsidRPr="00071A48">
        <w:rPr>
          <w:rFonts w:cs="Times New Roman"/>
        </w:rPr>
        <w:t xml:space="preserve"> operating rules define requirements for participating institutions, transaction processing, settlement, transaction limits, and cross-border payment operations. These controls help ensure that international connectivity is introduced within an established regulatory framework </w:t>
      </w:r>
      <w:r w:rsidRPr="00071A48">
        <w:rPr>
          <w:rStyle w:val="Strong"/>
          <w:rFonts w:cs="Times New Roman"/>
          <w:b w:val="0"/>
          <w:bCs w:val="0"/>
        </w:rPr>
        <w:t>[4]</w:t>
      </w:r>
      <w:r w:rsidRPr="00071A48">
        <w:rPr>
          <w:rFonts w:cs="Times New Roman"/>
          <w:b/>
          <w:bCs/>
        </w:rPr>
        <w:t>.</w:t>
      </w:r>
    </w:p>
    <w:p w14:paraId="6780C2E5" w14:textId="26AEB2C1" w:rsidR="00C53F50" w:rsidRPr="00071A48" w:rsidRDefault="00C53F50" w:rsidP="00071A48">
      <w:pPr>
        <w:spacing w:after="0" w:line="360" w:lineRule="auto"/>
        <w:jc w:val="both"/>
        <w:rPr>
          <w:rFonts w:cs="Times New Roman"/>
        </w:rPr>
      </w:pPr>
      <w:r w:rsidRPr="00071A48">
        <w:rPr>
          <w:rFonts w:cs="Times New Roman"/>
        </w:rPr>
        <w:t xml:space="preserve">The strategy used by global payment networks is different because organizations such as SWIFT, Visa, and Mastercard already operate across extensive international networks. Their focus is therefore on expanding coverage and improving speed, security, interoperability, tracking, and efficiency rather than building an international network from the beginning </w:t>
      </w:r>
      <w:r w:rsidRPr="00071A48">
        <w:rPr>
          <w:rStyle w:val="Strong"/>
          <w:rFonts w:cs="Times New Roman"/>
        </w:rPr>
        <w:t>[</w:t>
      </w:r>
      <w:r w:rsidRPr="00071A48">
        <w:rPr>
          <w:rStyle w:val="Strong"/>
          <w:rFonts w:cs="Times New Roman"/>
          <w:b w:val="0"/>
          <w:bCs w:val="0"/>
        </w:rPr>
        <w:t>8], [10]</w:t>
      </w:r>
      <w:r w:rsidRPr="00071A48">
        <w:rPr>
          <w:rFonts w:cs="Times New Roman"/>
          <w:b/>
          <w:bCs/>
        </w:rPr>
        <w:t>.</w:t>
      </w:r>
    </w:p>
    <w:p w14:paraId="269411CC" w14:textId="79A097F9" w:rsidR="00071A48" w:rsidRPr="00071A48" w:rsidRDefault="00C53F50" w:rsidP="00071A48">
      <w:pPr>
        <w:spacing w:after="0" w:line="360" w:lineRule="auto"/>
        <w:jc w:val="both"/>
        <w:rPr>
          <w:rFonts w:cs="Times New Roman"/>
        </w:rPr>
      </w:pPr>
      <w:r w:rsidRPr="00071A48">
        <w:rPr>
          <w:rFonts w:cs="Times New Roman"/>
        </w:rPr>
        <w:t xml:space="preserve">Overall, Nepal's implementation strategy can be described as </w:t>
      </w:r>
      <w:r w:rsidRPr="00071A48">
        <w:rPr>
          <w:rStyle w:val="Strong"/>
          <w:rFonts w:cs="Times New Roman"/>
          <w:b w:val="0"/>
          <w:bCs w:val="0"/>
        </w:rPr>
        <w:t>gradual, partnership-based,</w:t>
      </w:r>
      <w:r w:rsidRPr="00071A48">
        <w:rPr>
          <w:rStyle w:val="Strong"/>
          <w:rFonts w:cs="Times New Roman"/>
        </w:rPr>
        <w:t xml:space="preserve"> </w:t>
      </w:r>
      <w:r w:rsidRPr="00071A48">
        <w:rPr>
          <w:rStyle w:val="Strong"/>
          <w:rFonts w:cs="Times New Roman"/>
          <w:b w:val="0"/>
          <w:bCs w:val="0"/>
        </w:rPr>
        <w:t>interoperability-focused, and regulated</w:t>
      </w:r>
      <w:r w:rsidRPr="00071A48">
        <w:rPr>
          <w:rFonts w:cs="Times New Roman"/>
        </w:rPr>
        <w:t xml:space="preserve">, allowing the country to expand international payment connectivity while maintaining control over its domestic financial infrastructure </w:t>
      </w:r>
      <w:r w:rsidRPr="00071A48">
        <w:rPr>
          <w:rStyle w:val="Strong"/>
          <w:rFonts w:cs="Times New Roman"/>
          <w:b w:val="0"/>
          <w:bCs w:val="0"/>
        </w:rPr>
        <w:t>[1], [3], [4]</w:t>
      </w:r>
      <w:r w:rsidRPr="00071A48">
        <w:rPr>
          <w:rFonts w:cs="Times New Roman"/>
          <w:b/>
          <w:bCs/>
        </w:rPr>
        <w:t>.</w:t>
      </w:r>
    </w:p>
    <w:p w14:paraId="7B853715" w14:textId="4B00B5A5" w:rsidR="00453DAA" w:rsidRPr="00071A48" w:rsidRDefault="004C69AD" w:rsidP="00071A48">
      <w:pPr>
        <w:pStyle w:val="Heading2"/>
        <w:numPr>
          <w:ilvl w:val="1"/>
          <w:numId w:val="29"/>
        </w:numPr>
        <w:spacing w:after="0" w:line="360" w:lineRule="auto"/>
        <w:jc w:val="both"/>
        <w:rPr>
          <w:rFonts w:cs="Times New Roman"/>
          <w:bCs/>
          <w:sz w:val="28"/>
          <w:szCs w:val="36"/>
        </w:rPr>
      </w:pPr>
      <w:r w:rsidRPr="00071A48">
        <w:rPr>
          <w:rFonts w:cs="Times New Roman"/>
          <w:bCs/>
          <w:sz w:val="28"/>
          <w:szCs w:val="36"/>
        </w:rPr>
        <w:lastRenderedPageBreak/>
        <w:t xml:space="preserve"> </w:t>
      </w:r>
      <w:r w:rsidR="00453DAA" w:rsidRPr="00071A48">
        <w:rPr>
          <w:rFonts w:cs="Times New Roman"/>
          <w:bCs/>
          <w:sz w:val="28"/>
          <w:szCs w:val="36"/>
        </w:rPr>
        <w:t>Results and Outcomes</w:t>
      </w:r>
    </w:p>
    <w:p w14:paraId="2ADC4A49" w14:textId="77777777" w:rsidR="00794C1E" w:rsidRPr="00071A48" w:rsidRDefault="00794C1E" w:rsidP="00071A48">
      <w:pPr>
        <w:spacing w:after="0" w:line="360" w:lineRule="auto"/>
        <w:jc w:val="both"/>
        <w:rPr>
          <w:rFonts w:cs="Times New Roman"/>
          <w:color w:val="auto"/>
        </w:rPr>
      </w:pPr>
      <w:r w:rsidRPr="00071A48">
        <w:rPr>
          <w:rFonts w:cs="Times New Roman"/>
        </w:rPr>
        <w:t xml:space="preserve">The implementation of Nepal's domestic payment infrastructure has resulted in substantial growth in digital payment activity. NCHL's FY 2024/25 Annual Report records significant transaction activity across its payment systems, demonstrating the increasing use of electronic payment channels by individuals, businesses, and financial institutions in Nepal </w:t>
      </w:r>
      <w:r w:rsidRPr="00071A48">
        <w:rPr>
          <w:rStyle w:val="Strong"/>
          <w:rFonts w:cs="Times New Roman"/>
          <w:b w:val="0"/>
          <w:bCs w:val="0"/>
        </w:rPr>
        <w:t>[1]</w:t>
      </w:r>
      <w:r w:rsidRPr="00071A48">
        <w:rPr>
          <w:rFonts w:cs="Times New Roman"/>
          <w:b/>
          <w:bCs/>
        </w:rPr>
        <w:t>.</w:t>
      </w:r>
    </w:p>
    <w:p w14:paraId="601A8B17" w14:textId="77777777" w:rsidR="00794C1E" w:rsidRPr="00071A48" w:rsidRDefault="00794C1E" w:rsidP="00071A48">
      <w:pPr>
        <w:spacing w:after="0" w:line="360" w:lineRule="auto"/>
        <w:jc w:val="both"/>
        <w:rPr>
          <w:rFonts w:cs="Times New Roman"/>
        </w:rPr>
      </w:pPr>
      <w:r w:rsidRPr="00071A48">
        <w:rPr>
          <w:rFonts w:cs="Times New Roman"/>
        </w:rPr>
        <w:t xml:space="preserve">The development of systems such as </w:t>
      </w:r>
      <w:proofErr w:type="spellStart"/>
      <w:r w:rsidRPr="00071A48">
        <w:rPr>
          <w:rFonts w:cs="Times New Roman"/>
        </w:rPr>
        <w:t>connectIPS</w:t>
      </w:r>
      <w:proofErr w:type="spellEnd"/>
      <w:r w:rsidRPr="00071A48">
        <w:rPr>
          <w:rFonts w:cs="Times New Roman"/>
        </w:rPr>
        <w:t xml:space="preserve"> and the National Payments Interface has also improved interoperability within Nepal's payment ecosystem. By allowing participating institutions and payment systems to communicate through shared infrastructure, these systems reduce fragmentation and make domestic electronic transactions more convenient </w:t>
      </w:r>
      <w:r w:rsidRPr="00071A48">
        <w:rPr>
          <w:rStyle w:val="Strong"/>
          <w:rFonts w:cs="Times New Roman"/>
          <w:b w:val="0"/>
          <w:bCs w:val="0"/>
        </w:rPr>
        <w:t>[1], [2]</w:t>
      </w:r>
      <w:r w:rsidRPr="00071A48">
        <w:rPr>
          <w:rFonts w:cs="Times New Roman"/>
          <w:b/>
          <w:bCs/>
        </w:rPr>
        <w:t>.</w:t>
      </w:r>
    </w:p>
    <w:p w14:paraId="7556D083" w14:textId="77777777" w:rsidR="00794C1E" w:rsidRPr="00071A48" w:rsidRDefault="00794C1E" w:rsidP="00071A48">
      <w:pPr>
        <w:spacing w:after="0" w:line="360" w:lineRule="auto"/>
        <w:jc w:val="both"/>
        <w:rPr>
          <w:rFonts w:cs="Times New Roman"/>
        </w:rPr>
      </w:pPr>
      <w:r w:rsidRPr="00071A48">
        <w:rPr>
          <w:rFonts w:cs="Times New Roman"/>
        </w:rPr>
        <w:t xml:space="preserve">International connectivity has also produced practical results. The integration of Alipay+ with NEPALPAY QR allows users of supported international payment applications to make payments at participating Nepali merchants. This is particularly useful for international visitors because they can use payment applications with which they are already familiar </w:t>
      </w:r>
      <w:r w:rsidRPr="00071A48">
        <w:rPr>
          <w:rStyle w:val="Strong"/>
          <w:rFonts w:cs="Times New Roman"/>
          <w:b w:val="0"/>
          <w:bCs w:val="0"/>
        </w:rPr>
        <w:t>[5]</w:t>
      </w:r>
      <w:r w:rsidRPr="00071A48">
        <w:rPr>
          <w:rFonts w:cs="Times New Roman"/>
          <w:b/>
          <w:bCs/>
        </w:rPr>
        <w:t>.</w:t>
      </w:r>
    </w:p>
    <w:p w14:paraId="1E8A25A8" w14:textId="77777777" w:rsidR="00794C1E" w:rsidRPr="00071A48" w:rsidRDefault="00794C1E" w:rsidP="00071A48">
      <w:pPr>
        <w:spacing w:after="0" w:line="360" w:lineRule="auto"/>
        <w:jc w:val="both"/>
        <w:rPr>
          <w:rFonts w:cs="Times New Roman"/>
        </w:rPr>
      </w:pPr>
      <w:r w:rsidRPr="00071A48">
        <w:rPr>
          <w:rFonts w:cs="Times New Roman"/>
        </w:rPr>
        <w:t xml:space="preserve">NCHL's annual report also demonstrates that </w:t>
      </w:r>
      <w:proofErr w:type="spellStart"/>
      <w:r w:rsidRPr="00071A48">
        <w:rPr>
          <w:rFonts w:cs="Times New Roman"/>
        </w:rPr>
        <w:t>NPIx</w:t>
      </w:r>
      <w:proofErr w:type="spellEnd"/>
      <w:r w:rsidRPr="00071A48">
        <w:rPr>
          <w:rFonts w:cs="Times New Roman"/>
        </w:rPr>
        <w:t xml:space="preserve"> is being used as a foundation for international payment connectivity, including its Alipay+ integration and UPI-related arrangements. These developments indicate that Nepal's payment infrastructure is gradually moving beyond purely domestic transactions toward greater regional and international interoperability </w:t>
      </w:r>
      <w:r w:rsidRPr="00071A48">
        <w:rPr>
          <w:rStyle w:val="Strong"/>
          <w:rFonts w:cs="Times New Roman"/>
          <w:b w:val="0"/>
          <w:bCs w:val="0"/>
        </w:rPr>
        <w:t>[1]</w:t>
      </w:r>
      <w:r w:rsidRPr="00071A48">
        <w:rPr>
          <w:rFonts w:cs="Times New Roman"/>
          <w:b/>
          <w:bCs/>
        </w:rPr>
        <w:t>.</w:t>
      </w:r>
    </w:p>
    <w:p w14:paraId="07572718" w14:textId="77777777" w:rsidR="00F66E3B" w:rsidRPr="00071A48" w:rsidRDefault="00794C1E" w:rsidP="00071A48">
      <w:pPr>
        <w:spacing w:after="0" w:line="360" w:lineRule="auto"/>
        <w:jc w:val="both"/>
        <w:rPr>
          <w:rFonts w:cs="Times New Roman"/>
          <w:b/>
          <w:bCs/>
        </w:rPr>
      </w:pPr>
      <w:r w:rsidRPr="00071A48">
        <w:rPr>
          <w:rFonts w:cs="Times New Roman"/>
        </w:rPr>
        <w:t xml:space="preserve">However, Nepal's international payment connectivity remains less developed than its domestic payment ecosystem. Cross-border transactions continue to involve additional regulatory, technical, settlement, and currency-related requirements. International research identifies these issues as major factors affecting the efficiency of cross-border payment systems worldwide </w:t>
      </w:r>
      <w:r w:rsidRPr="00071A48">
        <w:rPr>
          <w:rStyle w:val="Strong"/>
          <w:rFonts w:cs="Times New Roman"/>
          <w:b w:val="0"/>
          <w:bCs w:val="0"/>
        </w:rPr>
        <w:t>[6], [7]</w:t>
      </w:r>
      <w:r w:rsidRPr="00071A48">
        <w:rPr>
          <w:rFonts w:cs="Times New Roman"/>
          <w:b/>
          <w:bCs/>
        </w:rPr>
        <w:t>.</w:t>
      </w:r>
    </w:p>
    <w:p w14:paraId="6B77C801" w14:textId="3E316880" w:rsidR="00CE0FA0" w:rsidRPr="00071A48" w:rsidRDefault="00F66E3B" w:rsidP="00071A48">
      <w:pPr>
        <w:pStyle w:val="Heading2"/>
        <w:spacing w:after="0" w:line="360" w:lineRule="auto"/>
        <w:rPr>
          <w:rFonts w:cs="Times New Roman"/>
          <w:szCs w:val="24"/>
        </w:rPr>
      </w:pPr>
      <w:r w:rsidRPr="00071A48">
        <w:rPr>
          <w:rFonts w:cs="Times New Roman"/>
        </w:rPr>
        <w:t xml:space="preserve">2.4 </w:t>
      </w:r>
      <w:r w:rsidR="002040A9" w:rsidRPr="00071A48">
        <w:rPr>
          <w:rFonts w:cs="Times New Roman"/>
        </w:rPr>
        <w:t>Challenges in Implementation</w:t>
      </w:r>
    </w:p>
    <w:p w14:paraId="05A934F1" w14:textId="77777777" w:rsidR="008D640A" w:rsidRPr="00071A48" w:rsidRDefault="008D640A" w:rsidP="00071A48">
      <w:pPr>
        <w:spacing w:after="0" w:line="360" w:lineRule="auto"/>
        <w:jc w:val="both"/>
        <w:rPr>
          <w:rFonts w:cs="Times New Roman"/>
          <w:lang w:val="en-GB" w:eastAsia="en-GB" w:bidi="ne-NP"/>
        </w:rPr>
      </w:pPr>
      <w:r w:rsidRPr="00071A48">
        <w:rPr>
          <w:rFonts w:cs="Times New Roman"/>
          <w:lang w:val="en-GB" w:eastAsia="en-GB" w:bidi="ne-NP"/>
        </w:rPr>
        <w:t xml:space="preserve">One of the major challenges is regulatory complexity. Cross-border payments involve multiple jurisdictions, meaning that participating institutions may need to comply with different requirements relating to customer identification, anti-money laundering, foreign exchange, transaction monitoring, and financial reporting. Nepal's </w:t>
      </w:r>
      <w:proofErr w:type="spellStart"/>
      <w:r w:rsidRPr="00071A48">
        <w:rPr>
          <w:rFonts w:cs="Times New Roman"/>
          <w:lang w:val="en-GB" w:eastAsia="en-GB" w:bidi="ne-NP"/>
        </w:rPr>
        <w:t>NPIx</w:t>
      </w:r>
      <w:proofErr w:type="spellEnd"/>
      <w:r w:rsidRPr="00071A48">
        <w:rPr>
          <w:rFonts w:cs="Times New Roman"/>
          <w:lang w:val="en-GB" w:eastAsia="en-GB" w:bidi="ne-NP"/>
        </w:rPr>
        <w:t xml:space="preserve"> operating rules therefore specify requirements for participating institutions and cross-border transactions [4].</w:t>
      </w:r>
    </w:p>
    <w:p w14:paraId="4760C5BC" w14:textId="77777777" w:rsidR="008D640A" w:rsidRPr="00071A48" w:rsidRDefault="008D640A" w:rsidP="00071A48">
      <w:pPr>
        <w:spacing w:after="0" w:line="360" w:lineRule="auto"/>
        <w:jc w:val="both"/>
        <w:rPr>
          <w:rFonts w:cs="Times New Roman"/>
          <w:lang w:val="en-GB" w:eastAsia="en-GB" w:bidi="ne-NP"/>
        </w:rPr>
      </w:pPr>
      <w:r w:rsidRPr="00071A48">
        <w:rPr>
          <w:rFonts w:cs="Times New Roman"/>
          <w:lang w:val="en-GB" w:eastAsia="en-GB" w:bidi="ne-NP"/>
        </w:rPr>
        <w:t xml:space="preserve">Another major challenge is technical interoperability. Nepal's domestic payment infrastructure must communicate securely with payment systems and financial institutions in other countries. This requires compatible messaging standards, APIs, security mechanisms, settlement processes, </w:t>
      </w:r>
      <w:r w:rsidRPr="00071A48">
        <w:rPr>
          <w:rFonts w:cs="Times New Roman"/>
          <w:lang w:val="en-GB" w:eastAsia="en-GB" w:bidi="ne-NP"/>
        </w:rPr>
        <w:lastRenderedPageBreak/>
        <w:t>and reliable technical infrastructure. BIS identifies interoperability and harmonized technical standards as important areas for improving cross-border payment efficiency [6], [7].</w:t>
      </w:r>
    </w:p>
    <w:p w14:paraId="668EA260" w14:textId="77777777" w:rsidR="008D640A" w:rsidRPr="00071A48" w:rsidRDefault="008D640A" w:rsidP="00071A48">
      <w:pPr>
        <w:spacing w:after="0" w:line="360" w:lineRule="auto"/>
        <w:jc w:val="both"/>
        <w:rPr>
          <w:rFonts w:cs="Times New Roman"/>
          <w:lang w:val="en-GB" w:eastAsia="en-GB" w:bidi="ne-NP"/>
        </w:rPr>
      </w:pPr>
      <w:r w:rsidRPr="00071A48">
        <w:rPr>
          <w:rFonts w:cs="Times New Roman"/>
          <w:lang w:val="en-GB" w:eastAsia="en-GB" w:bidi="ne-NP"/>
        </w:rPr>
        <w:t>Cost and processing time are also significant challenges. International transactions can involve multiple financial institutions, intermediary arrangements, currency conversion, compliance checks, and settlement procedures. These factors can make cross-border payments more expensive and slower than domestic transactions [7].</w:t>
      </w:r>
    </w:p>
    <w:p w14:paraId="08F817FE" w14:textId="77777777" w:rsidR="008D640A" w:rsidRPr="00071A48" w:rsidRDefault="008D640A" w:rsidP="00071A48">
      <w:pPr>
        <w:spacing w:after="0" w:line="360" w:lineRule="auto"/>
        <w:jc w:val="both"/>
        <w:rPr>
          <w:rFonts w:cs="Times New Roman"/>
          <w:lang w:val="en-GB" w:eastAsia="en-GB" w:bidi="ne-NP"/>
        </w:rPr>
      </w:pPr>
      <w:r w:rsidRPr="00071A48">
        <w:rPr>
          <w:rFonts w:cs="Times New Roman"/>
          <w:lang w:val="en-GB" w:eastAsia="en-GB" w:bidi="ne-NP"/>
        </w:rPr>
        <w:t xml:space="preserve">Another challenge is establishing international partnerships. Connecting Nepal's payment infrastructure with another country's payment system requires technical integration, regulatory approval, agreements between participating institutions, and appropriate settlement arrangements. </w:t>
      </w:r>
      <w:proofErr w:type="spellStart"/>
      <w:r w:rsidRPr="00071A48">
        <w:rPr>
          <w:rFonts w:cs="Times New Roman"/>
          <w:lang w:val="en-GB" w:eastAsia="en-GB" w:bidi="ne-NP"/>
        </w:rPr>
        <w:t>NPIx</w:t>
      </w:r>
      <w:proofErr w:type="spellEnd"/>
      <w:r w:rsidRPr="00071A48">
        <w:rPr>
          <w:rFonts w:cs="Times New Roman"/>
          <w:lang w:val="en-GB" w:eastAsia="en-GB" w:bidi="ne-NP"/>
        </w:rPr>
        <w:t xml:space="preserve"> provides a framework for these types of international connections, but each new payment corridor still requires coordination between the participating institutions [4].</w:t>
      </w:r>
    </w:p>
    <w:p w14:paraId="30BD19F4" w14:textId="77777777" w:rsidR="008D640A" w:rsidRDefault="008D640A" w:rsidP="00071A48">
      <w:pPr>
        <w:spacing w:after="0" w:line="360" w:lineRule="auto"/>
        <w:jc w:val="both"/>
        <w:rPr>
          <w:rFonts w:cs="Times New Roman"/>
          <w:lang w:val="en-GB" w:eastAsia="en-GB" w:bidi="ne-NP"/>
        </w:rPr>
      </w:pPr>
      <w:r w:rsidRPr="00071A48">
        <w:rPr>
          <w:rFonts w:cs="Times New Roman"/>
          <w:lang w:val="en-GB" w:eastAsia="en-GB" w:bidi="ne-NP"/>
        </w:rPr>
        <w:t>Finally, Nepal must balance international accessibility with financial security. Increasing international connectivity can make payments easier for users and businesses, but payment systems must also manage fraud, cybersecurity, money laundering, foreign-exchange risks, and operational risks. ADB emphasizes that Nepal's continued digital-payment development requires improvements not only in infrastructure but also in regulatory and institutional capacity [3].</w:t>
      </w:r>
    </w:p>
    <w:p w14:paraId="1ECEE0EC" w14:textId="77777777" w:rsidR="00556D05" w:rsidRDefault="00556D05" w:rsidP="00071A48">
      <w:pPr>
        <w:spacing w:after="0" w:line="360" w:lineRule="auto"/>
        <w:jc w:val="both"/>
        <w:rPr>
          <w:rFonts w:cs="Times New Roman"/>
          <w:lang w:val="en-GB" w:eastAsia="en-GB" w:bidi="ne-NP"/>
        </w:rPr>
      </w:pPr>
    </w:p>
    <w:p w14:paraId="2DF26758" w14:textId="77777777" w:rsidR="00556D05" w:rsidRDefault="00556D05" w:rsidP="00071A48">
      <w:pPr>
        <w:spacing w:after="0" w:line="360" w:lineRule="auto"/>
        <w:jc w:val="both"/>
        <w:rPr>
          <w:rFonts w:cs="Times New Roman"/>
          <w:lang w:val="en-GB" w:eastAsia="en-GB" w:bidi="ne-NP"/>
        </w:rPr>
      </w:pPr>
    </w:p>
    <w:p w14:paraId="334C66C3" w14:textId="77777777" w:rsidR="00556D05" w:rsidRDefault="00556D05" w:rsidP="00071A48">
      <w:pPr>
        <w:spacing w:after="0" w:line="360" w:lineRule="auto"/>
        <w:jc w:val="both"/>
        <w:rPr>
          <w:rFonts w:cs="Times New Roman"/>
          <w:lang w:val="en-GB" w:eastAsia="en-GB" w:bidi="ne-NP"/>
        </w:rPr>
      </w:pPr>
    </w:p>
    <w:p w14:paraId="7EA2392F" w14:textId="77777777" w:rsidR="00556D05" w:rsidRDefault="00556D05" w:rsidP="00071A48">
      <w:pPr>
        <w:spacing w:after="0" w:line="360" w:lineRule="auto"/>
        <w:jc w:val="both"/>
        <w:rPr>
          <w:rFonts w:cs="Times New Roman"/>
          <w:lang w:val="en-GB" w:eastAsia="en-GB" w:bidi="ne-NP"/>
        </w:rPr>
      </w:pPr>
    </w:p>
    <w:p w14:paraId="229D9F2B" w14:textId="77777777" w:rsidR="00556D05" w:rsidRDefault="00556D05" w:rsidP="00071A48">
      <w:pPr>
        <w:spacing w:after="0" w:line="360" w:lineRule="auto"/>
        <w:jc w:val="both"/>
        <w:rPr>
          <w:rFonts w:cs="Times New Roman"/>
          <w:lang w:val="en-GB" w:eastAsia="en-GB" w:bidi="ne-NP"/>
        </w:rPr>
      </w:pPr>
    </w:p>
    <w:p w14:paraId="75E9F5C7" w14:textId="77777777" w:rsidR="00556D05" w:rsidRDefault="00556D05" w:rsidP="00071A48">
      <w:pPr>
        <w:spacing w:after="0" w:line="360" w:lineRule="auto"/>
        <w:jc w:val="both"/>
        <w:rPr>
          <w:rFonts w:cs="Times New Roman"/>
          <w:lang w:val="en-GB" w:eastAsia="en-GB" w:bidi="ne-NP"/>
        </w:rPr>
      </w:pPr>
    </w:p>
    <w:p w14:paraId="6BA680C0" w14:textId="77777777" w:rsidR="00556D05" w:rsidRDefault="00556D05" w:rsidP="00071A48">
      <w:pPr>
        <w:spacing w:after="0" w:line="360" w:lineRule="auto"/>
        <w:jc w:val="both"/>
        <w:rPr>
          <w:rFonts w:cs="Times New Roman"/>
          <w:lang w:val="en-GB" w:eastAsia="en-GB" w:bidi="ne-NP"/>
        </w:rPr>
      </w:pPr>
    </w:p>
    <w:p w14:paraId="1C163326" w14:textId="77777777" w:rsidR="00556D05" w:rsidRDefault="00556D05" w:rsidP="00071A48">
      <w:pPr>
        <w:spacing w:after="0" w:line="360" w:lineRule="auto"/>
        <w:jc w:val="both"/>
        <w:rPr>
          <w:rFonts w:cs="Times New Roman"/>
          <w:lang w:val="en-GB" w:eastAsia="en-GB" w:bidi="ne-NP"/>
        </w:rPr>
      </w:pPr>
    </w:p>
    <w:p w14:paraId="2DB62B57" w14:textId="77777777" w:rsidR="00556D05" w:rsidRDefault="00556D05" w:rsidP="00071A48">
      <w:pPr>
        <w:spacing w:after="0" w:line="360" w:lineRule="auto"/>
        <w:jc w:val="both"/>
        <w:rPr>
          <w:rFonts w:cs="Times New Roman"/>
          <w:lang w:val="en-GB" w:eastAsia="en-GB" w:bidi="ne-NP"/>
        </w:rPr>
      </w:pPr>
    </w:p>
    <w:p w14:paraId="4231DEC2" w14:textId="77777777" w:rsidR="00556D05" w:rsidRDefault="00556D05" w:rsidP="00071A48">
      <w:pPr>
        <w:spacing w:after="0" w:line="360" w:lineRule="auto"/>
        <w:jc w:val="both"/>
        <w:rPr>
          <w:rFonts w:cs="Times New Roman"/>
          <w:lang w:val="en-GB" w:eastAsia="en-GB" w:bidi="ne-NP"/>
        </w:rPr>
      </w:pPr>
    </w:p>
    <w:p w14:paraId="1EB97B7B" w14:textId="77777777" w:rsidR="00556D05" w:rsidRDefault="00556D05" w:rsidP="00071A48">
      <w:pPr>
        <w:spacing w:after="0" w:line="360" w:lineRule="auto"/>
        <w:jc w:val="both"/>
        <w:rPr>
          <w:rFonts w:cs="Times New Roman"/>
          <w:lang w:val="en-GB" w:eastAsia="en-GB" w:bidi="ne-NP"/>
        </w:rPr>
      </w:pPr>
    </w:p>
    <w:p w14:paraId="68C224DC" w14:textId="77777777" w:rsidR="00556D05" w:rsidRPr="00071A48" w:rsidRDefault="00556D05" w:rsidP="00071A48">
      <w:pPr>
        <w:spacing w:after="0" w:line="360" w:lineRule="auto"/>
        <w:jc w:val="both"/>
        <w:rPr>
          <w:rFonts w:cs="Times New Roman"/>
          <w:lang w:val="en-GB" w:eastAsia="en-GB" w:bidi="ne-NP"/>
        </w:rPr>
      </w:pPr>
    </w:p>
    <w:p w14:paraId="7EC2289E" w14:textId="4C57E6D1" w:rsidR="00125AD2" w:rsidRPr="00071A48" w:rsidRDefault="00AC06A8" w:rsidP="00071A48">
      <w:pPr>
        <w:pStyle w:val="Heading1"/>
        <w:spacing w:after="0" w:line="360" w:lineRule="auto"/>
        <w:rPr>
          <w:rFonts w:cs="Times New Roman"/>
          <w:sz w:val="32"/>
          <w:szCs w:val="32"/>
        </w:rPr>
      </w:pPr>
      <w:r w:rsidRPr="00071A48">
        <w:rPr>
          <w:rFonts w:cs="Times New Roman"/>
          <w:sz w:val="32"/>
          <w:szCs w:val="32"/>
        </w:rPr>
        <w:lastRenderedPageBreak/>
        <w:t xml:space="preserve">3. </w:t>
      </w:r>
      <w:r w:rsidR="00E62D4B" w:rsidRPr="00071A48">
        <w:rPr>
          <w:rFonts w:cs="Times New Roman"/>
          <w:sz w:val="32"/>
          <w:szCs w:val="32"/>
        </w:rPr>
        <w:t>Conclusion</w:t>
      </w:r>
    </w:p>
    <w:p w14:paraId="1340B920" w14:textId="5D66A8EE" w:rsidR="00006217" w:rsidRDefault="00125AD2" w:rsidP="00071A48">
      <w:pPr>
        <w:spacing w:after="0" w:line="360" w:lineRule="auto"/>
        <w:jc w:val="both"/>
        <w:rPr>
          <w:rFonts w:cs="Times New Roman"/>
          <w:b/>
          <w:bCs/>
        </w:rPr>
      </w:pPr>
      <w:r w:rsidRPr="00071A48">
        <w:rPr>
          <w:rFonts w:cs="Times New Roman"/>
        </w:rPr>
        <w:t xml:space="preserve">This study demonstrates that Nepal has made significant progress in developing a strong domestic digital payment ecosystem through systems such as </w:t>
      </w:r>
      <w:proofErr w:type="spellStart"/>
      <w:r w:rsidRPr="00071A48">
        <w:rPr>
          <w:rFonts w:cs="Times New Roman"/>
        </w:rPr>
        <w:t>eSewa</w:t>
      </w:r>
      <w:proofErr w:type="spellEnd"/>
      <w:r w:rsidRPr="00071A48">
        <w:rPr>
          <w:rFonts w:cs="Times New Roman"/>
        </w:rPr>
        <w:t xml:space="preserve">, </w:t>
      </w:r>
      <w:proofErr w:type="spellStart"/>
      <w:r w:rsidRPr="00071A48">
        <w:rPr>
          <w:rFonts w:cs="Times New Roman"/>
        </w:rPr>
        <w:t>connectIPS</w:t>
      </w:r>
      <w:proofErr w:type="spellEnd"/>
      <w:r w:rsidRPr="00071A48">
        <w:rPr>
          <w:rFonts w:cs="Times New Roman"/>
        </w:rPr>
        <w:t xml:space="preserve">, NEPALPAY QR, and NCHL's payment infrastructure, which have made digital transactions faster, easier, and more accessible within the country. In comparison, global payment networks such as SWIFT, Visa Direct, and Mastercard Move provide wider international coverage and support cross-border transactions across different countries, currencies, and financial institutions. However, Nepal's international payment connectivity is still developing and faces challenges related to regulatory requirements, technical interoperability, transaction costs, settlement mechanisms, and international partnerships. Recent </w:t>
      </w:r>
      <w:proofErr w:type="spellStart"/>
      <w:r w:rsidR="00AB2DDB">
        <w:rPr>
          <w:rFonts w:cs="Times New Roman"/>
        </w:rPr>
        <w:t>c</w:t>
      </w:r>
      <w:r w:rsidRPr="00071A48">
        <w:rPr>
          <w:rFonts w:cs="Times New Roman"/>
        </w:rPr>
        <w:t>developments</w:t>
      </w:r>
      <w:proofErr w:type="spellEnd"/>
      <w:r w:rsidRPr="00071A48">
        <w:rPr>
          <w:rFonts w:cs="Times New Roman"/>
        </w:rPr>
        <w:t xml:space="preserve">, including </w:t>
      </w:r>
      <w:proofErr w:type="spellStart"/>
      <w:r w:rsidRPr="00071A48">
        <w:rPr>
          <w:rFonts w:cs="Times New Roman"/>
        </w:rPr>
        <w:t>NPIx</w:t>
      </w:r>
      <w:proofErr w:type="spellEnd"/>
      <w:r w:rsidRPr="00071A48">
        <w:rPr>
          <w:rFonts w:cs="Times New Roman"/>
        </w:rPr>
        <w:t>, the integration of Alipay+ with NEPALPAY QR, and other cross-border payment initiatives, show that Nepal is gradually connecting its domestic payment infrastructure with international systems. Overall, this study demonstrates that building a strong local payment system and connecting it effectively with global payment networks are two different but closely related processes. Nepal has established a strong foundation for domestic digital payments and is gradually moving toward greater international connectivity, and continued cooperation among Nepal Rastra Bank, NCHL, banks, payment service providers, and international payment networks will be important for creating a secure, efficient, affordable, and globally connected payment system.</w:t>
      </w:r>
    </w:p>
    <w:p w14:paraId="39333760" w14:textId="77777777" w:rsidR="00556D05" w:rsidRDefault="00556D05" w:rsidP="00071A48">
      <w:pPr>
        <w:spacing w:after="0" w:line="360" w:lineRule="auto"/>
        <w:jc w:val="both"/>
        <w:rPr>
          <w:rFonts w:cs="Times New Roman"/>
          <w:b/>
          <w:bCs/>
        </w:rPr>
      </w:pPr>
    </w:p>
    <w:p w14:paraId="335B79A9" w14:textId="77777777" w:rsidR="00132FFA" w:rsidRDefault="00132FFA" w:rsidP="00071A48">
      <w:pPr>
        <w:spacing w:after="0" w:line="360" w:lineRule="auto"/>
        <w:jc w:val="both"/>
        <w:rPr>
          <w:rFonts w:cs="Times New Roman"/>
          <w:b/>
          <w:bCs/>
        </w:rPr>
      </w:pPr>
    </w:p>
    <w:p w14:paraId="406DDBA6" w14:textId="77777777" w:rsidR="00132FFA" w:rsidRDefault="00132FFA" w:rsidP="00071A48">
      <w:pPr>
        <w:spacing w:after="0" w:line="360" w:lineRule="auto"/>
        <w:jc w:val="both"/>
        <w:rPr>
          <w:rFonts w:cs="Times New Roman"/>
          <w:b/>
          <w:bCs/>
        </w:rPr>
      </w:pPr>
    </w:p>
    <w:p w14:paraId="256A381A" w14:textId="77777777" w:rsidR="00132FFA" w:rsidRDefault="00132FFA" w:rsidP="00071A48">
      <w:pPr>
        <w:spacing w:after="0" w:line="360" w:lineRule="auto"/>
        <w:jc w:val="both"/>
        <w:rPr>
          <w:rFonts w:cs="Times New Roman"/>
          <w:b/>
          <w:bCs/>
        </w:rPr>
      </w:pPr>
    </w:p>
    <w:p w14:paraId="7BF54ED9" w14:textId="77777777" w:rsidR="00132FFA" w:rsidRDefault="00132FFA" w:rsidP="00071A48">
      <w:pPr>
        <w:spacing w:after="0" w:line="360" w:lineRule="auto"/>
        <w:jc w:val="both"/>
        <w:rPr>
          <w:rFonts w:cs="Times New Roman"/>
          <w:b/>
          <w:bCs/>
        </w:rPr>
      </w:pPr>
    </w:p>
    <w:p w14:paraId="5DEA29FA" w14:textId="77777777" w:rsidR="00132FFA" w:rsidRDefault="00132FFA" w:rsidP="00071A48">
      <w:pPr>
        <w:spacing w:after="0" w:line="360" w:lineRule="auto"/>
        <w:jc w:val="both"/>
        <w:rPr>
          <w:rFonts w:cs="Times New Roman"/>
          <w:b/>
          <w:bCs/>
        </w:rPr>
      </w:pPr>
    </w:p>
    <w:p w14:paraId="6B547DA6" w14:textId="77777777" w:rsidR="000D11D9" w:rsidRDefault="000D11D9" w:rsidP="00071A48">
      <w:pPr>
        <w:spacing w:after="0" w:line="360" w:lineRule="auto"/>
        <w:jc w:val="both"/>
        <w:rPr>
          <w:rFonts w:cs="Times New Roman"/>
          <w:b/>
          <w:bCs/>
        </w:rPr>
      </w:pPr>
    </w:p>
    <w:p w14:paraId="7DB6A982" w14:textId="77777777" w:rsidR="000D11D9" w:rsidRDefault="000D11D9" w:rsidP="00071A48">
      <w:pPr>
        <w:spacing w:after="0" w:line="360" w:lineRule="auto"/>
        <w:jc w:val="both"/>
        <w:rPr>
          <w:rFonts w:cs="Times New Roman"/>
          <w:b/>
          <w:bCs/>
        </w:rPr>
      </w:pPr>
    </w:p>
    <w:p w14:paraId="6CC0A020" w14:textId="77777777" w:rsidR="000D11D9" w:rsidRDefault="000D11D9" w:rsidP="00071A48">
      <w:pPr>
        <w:spacing w:after="0" w:line="360" w:lineRule="auto"/>
        <w:jc w:val="both"/>
        <w:rPr>
          <w:rFonts w:cs="Times New Roman"/>
          <w:b/>
          <w:bCs/>
        </w:rPr>
      </w:pPr>
    </w:p>
    <w:p w14:paraId="0A65C0E8" w14:textId="77777777" w:rsidR="000D11D9" w:rsidRDefault="000D11D9" w:rsidP="00071A48">
      <w:pPr>
        <w:spacing w:after="0" w:line="360" w:lineRule="auto"/>
        <w:jc w:val="both"/>
        <w:rPr>
          <w:rFonts w:cs="Times New Roman"/>
          <w:b/>
          <w:bCs/>
        </w:rPr>
      </w:pPr>
    </w:p>
    <w:p w14:paraId="2D4ECDD0" w14:textId="77777777" w:rsidR="00132FFA" w:rsidRDefault="00132FFA" w:rsidP="00071A48">
      <w:pPr>
        <w:spacing w:after="0" w:line="360" w:lineRule="auto"/>
        <w:jc w:val="both"/>
        <w:rPr>
          <w:rFonts w:cs="Times New Roman"/>
          <w:b/>
          <w:bCs/>
        </w:rPr>
      </w:pPr>
    </w:p>
    <w:p w14:paraId="31D177FA" w14:textId="77777777" w:rsidR="00132FFA" w:rsidRDefault="00132FFA" w:rsidP="00071A48">
      <w:pPr>
        <w:spacing w:after="0" w:line="360" w:lineRule="auto"/>
        <w:jc w:val="both"/>
        <w:rPr>
          <w:rFonts w:cs="Times New Roman"/>
          <w:b/>
          <w:bCs/>
        </w:rPr>
      </w:pPr>
    </w:p>
    <w:p w14:paraId="71E5BA1C" w14:textId="77777777" w:rsidR="00556D05" w:rsidRPr="00071A48" w:rsidRDefault="00556D05" w:rsidP="00071A48">
      <w:pPr>
        <w:spacing w:after="0" w:line="360" w:lineRule="auto"/>
        <w:jc w:val="both"/>
        <w:rPr>
          <w:rFonts w:cs="Times New Roman"/>
          <w:b/>
          <w:bCs/>
        </w:rPr>
      </w:pPr>
    </w:p>
    <w:sdt>
      <w:sdtPr>
        <w:rPr>
          <w:rFonts w:cs="Times New Roman"/>
          <w:b/>
          <w:bCs/>
          <w:szCs w:val="22"/>
        </w:rPr>
        <w:id w:val="518812847"/>
        <w:docPartObj>
          <w:docPartGallery w:val="Bibliographies"/>
          <w:docPartUnique/>
        </w:docPartObj>
      </w:sdtPr>
      <w:sdtEndPr>
        <w:rPr>
          <w:b w:val="0"/>
          <w:bCs w:val="0"/>
          <w:szCs w:val="24"/>
        </w:rPr>
      </w:sdtEndPr>
      <w:sdtContent>
        <w:p w14:paraId="70E70B62" w14:textId="77777777" w:rsidR="00854AAC" w:rsidRDefault="00132FFA" w:rsidP="000D11D9">
          <w:pPr>
            <w:spacing w:line="360" w:lineRule="auto"/>
            <w:ind w:left="450"/>
            <w:rPr>
              <w:rFonts w:asciiTheme="minorHAnsi" w:hAnsiTheme="minorHAnsi"/>
              <w:noProof/>
              <w:color w:val="auto"/>
            </w:rPr>
          </w:pPr>
          <w:r w:rsidRPr="000D11D9">
            <w:rPr>
              <w:rFonts w:cs="Times New Roman"/>
              <w:b/>
              <w:bCs/>
              <w:sz w:val="32"/>
              <w:szCs w:val="32"/>
            </w:rPr>
            <w:t>References</w:t>
          </w:r>
          <w:r w:rsidRPr="00F22691">
            <w:rPr>
              <w:rFonts w:eastAsiaTheme="majorEastAsia" w:cs="Times New Roman"/>
              <w:b/>
              <w:bCs/>
              <w:sz w:val="32"/>
              <w:szCs w:val="28"/>
            </w:rPr>
            <w:fldChar w:fldCharType="begin"/>
          </w:r>
          <w:r w:rsidRPr="00F22691">
            <w:rPr>
              <w:rFonts w:cs="Times New Roman"/>
            </w:rPr>
            <w:instrText xml:space="preserve"> BIBLIOGRAPHY </w:instrText>
          </w:r>
          <w:r w:rsidRPr="00F22691">
            <w:rPr>
              <w:rFonts w:eastAsiaTheme="majorEastAsia" w:cs="Times New Roman"/>
              <w:b/>
              <w:bCs/>
              <w:sz w:val="32"/>
              <w:szCs w:val="28"/>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854AAC" w14:paraId="41975840" w14:textId="77777777" w:rsidTr="00854AAC">
            <w:trPr>
              <w:divId w:val="418671589"/>
              <w:tblCellSpacing w:w="15" w:type="dxa"/>
            </w:trPr>
            <w:tc>
              <w:tcPr>
                <w:tcW w:w="230" w:type="pct"/>
                <w:hideMark/>
              </w:tcPr>
              <w:p w14:paraId="655BD905" w14:textId="6432189C" w:rsidR="00854AAC" w:rsidRDefault="00854AAC">
                <w:pPr>
                  <w:pStyle w:val="Bibliography"/>
                  <w:rPr>
                    <w:noProof/>
                    <w:kern w:val="0"/>
                    <w14:ligatures w14:val="none"/>
                  </w:rPr>
                </w:pPr>
                <w:r>
                  <w:rPr>
                    <w:noProof/>
                  </w:rPr>
                  <w:t xml:space="preserve">[1] </w:t>
                </w:r>
              </w:p>
            </w:tc>
            <w:tc>
              <w:tcPr>
                <w:tcW w:w="0" w:type="auto"/>
                <w:hideMark/>
              </w:tcPr>
              <w:p w14:paraId="0FA17F25" w14:textId="2B6F355F" w:rsidR="00854AAC" w:rsidRDefault="000D11D9" w:rsidP="0073143B">
                <w:pPr>
                  <w:pStyle w:val="Bibliography"/>
                  <w:rPr>
                    <w:noProof/>
                  </w:rPr>
                </w:pPr>
                <w:r w:rsidRPr="000D11D9">
                  <w:rPr>
                    <w:noProof/>
                  </w:rPr>
                  <w:t xml:space="preserve">Nepal Clearing House Ltd., </w:t>
                </w:r>
                <w:r w:rsidRPr="000D11D9">
                  <w:rPr>
                    <w:i/>
                    <w:iCs/>
                    <w:noProof/>
                  </w:rPr>
                  <w:t>Annual Report 2081/82 (FY 2024/25)</w:t>
                </w:r>
                <w:r w:rsidRPr="000D11D9">
                  <w:rPr>
                    <w:noProof/>
                  </w:rPr>
                  <w:t xml:space="preserve">, Kathmandu, Nepal, 2025. [Online]. Available: </w:t>
                </w:r>
                <w:hyperlink r:id="rId8" w:tgtFrame="_new" w:history="1">
                  <w:r w:rsidRPr="000D11D9">
                    <w:rPr>
                      <w:rStyle w:val="Hyperlink"/>
                      <w:noProof/>
                    </w:rPr>
                    <w:t>https://nchl.com.np/wp-content/uploads/2025/12/NCHL-AR-2024-25.pdf</w:t>
                  </w:r>
                </w:hyperlink>
                <w:r w:rsidRPr="000D11D9">
                  <w:rPr>
                    <w:noProof/>
                  </w:rPr>
                  <w:t>.</w:t>
                </w:r>
              </w:p>
            </w:tc>
          </w:tr>
          <w:tr w:rsidR="00854AAC" w14:paraId="71DE5308" w14:textId="77777777" w:rsidTr="00854AAC">
            <w:trPr>
              <w:divId w:val="418671589"/>
              <w:tblCellSpacing w:w="15" w:type="dxa"/>
            </w:trPr>
            <w:tc>
              <w:tcPr>
                <w:tcW w:w="230" w:type="pct"/>
                <w:hideMark/>
              </w:tcPr>
              <w:p w14:paraId="662176B9" w14:textId="77777777" w:rsidR="00854AAC" w:rsidRDefault="00854AAC">
                <w:pPr>
                  <w:pStyle w:val="Bibliography"/>
                  <w:rPr>
                    <w:noProof/>
                  </w:rPr>
                </w:pPr>
                <w:r>
                  <w:rPr>
                    <w:noProof/>
                  </w:rPr>
                  <w:t xml:space="preserve">[2] </w:t>
                </w:r>
              </w:p>
            </w:tc>
            <w:tc>
              <w:tcPr>
                <w:tcW w:w="0" w:type="auto"/>
                <w:hideMark/>
              </w:tcPr>
              <w:p w14:paraId="2CD4917E" w14:textId="08772885" w:rsidR="00854AAC" w:rsidRDefault="000D11D9" w:rsidP="0073143B">
                <w:pPr>
                  <w:pStyle w:val="Bibliography"/>
                  <w:rPr>
                    <w:noProof/>
                  </w:rPr>
                </w:pPr>
                <w:r w:rsidRPr="000D11D9">
                  <w:rPr>
                    <w:noProof/>
                  </w:rPr>
                  <w:t xml:space="preserve">Nepal Rastra Bank, “Payment Systems Department,” 2026. [Online]. Available: </w:t>
                </w:r>
                <w:hyperlink r:id="rId9" w:tgtFrame="_new" w:history="1">
                  <w:r w:rsidRPr="000D11D9">
                    <w:rPr>
                      <w:rStyle w:val="Hyperlink"/>
                      <w:noProof/>
                    </w:rPr>
                    <w:t>https://www.nrb.org.np/departments/psd/</w:t>
                  </w:r>
                </w:hyperlink>
              </w:p>
            </w:tc>
          </w:tr>
          <w:tr w:rsidR="00854AAC" w14:paraId="30D27416" w14:textId="77777777" w:rsidTr="00854AAC">
            <w:trPr>
              <w:divId w:val="418671589"/>
              <w:tblCellSpacing w:w="15" w:type="dxa"/>
            </w:trPr>
            <w:tc>
              <w:tcPr>
                <w:tcW w:w="230" w:type="pct"/>
                <w:hideMark/>
              </w:tcPr>
              <w:p w14:paraId="792445F3" w14:textId="77777777" w:rsidR="00854AAC" w:rsidRDefault="00854AAC">
                <w:pPr>
                  <w:pStyle w:val="Bibliography"/>
                  <w:rPr>
                    <w:noProof/>
                  </w:rPr>
                </w:pPr>
                <w:r>
                  <w:rPr>
                    <w:noProof/>
                  </w:rPr>
                  <w:t xml:space="preserve">[3] </w:t>
                </w:r>
              </w:p>
            </w:tc>
            <w:tc>
              <w:tcPr>
                <w:tcW w:w="0" w:type="auto"/>
                <w:hideMark/>
              </w:tcPr>
              <w:p w14:paraId="7F9C78C7" w14:textId="6C9ACB3A" w:rsidR="00854AAC" w:rsidRDefault="001D5C57" w:rsidP="0073143B">
                <w:pPr>
                  <w:pStyle w:val="Bibliography"/>
                  <w:rPr>
                    <w:noProof/>
                  </w:rPr>
                </w:pPr>
                <w:r w:rsidRPr="001D5C57">
                  <w:rPr>
                    <w:noProof/>
                  </w:rPr>
                  <w:t xml:space="preserve">Asian Development Bank, </w:t>
                </w:r>
                <w:r w:rsidRPr="001D5C57">
                  <w:rPr>
                    <w:i/>
                    <w:iCs/>
                    <w:noProof/>
                  </w:rPr>
                  <w:t>Advancing Digital Payments in Nepal: Infrastructure Upgrades and Policy Development for Enhanced Trade Facilitation</w:t>
                </w:r>
                <w:r w:rsidRPr="001D5C57">
                  <w:rPr>
                    <w:noProof/>
                  </w:rPr>
                  <w:t xml:space="preserve">, 2026. [Online]. Available: </w:t>
                </w:r>
                <w:hyperlink r:id="rId10" w:tgtFrame="_new" w:history="1">
                  <w:r w:rsidRPr="001D5C57">
                    <w:rPr>
                      <w:rStyle w:val="Hyperlink"/>
                      <w:noProof/>
                    </w:rPr>
                    <w:t>https://www.adb.org/publications/advancing-digital-payments-nepal</w:t>
                  </w:r>
                </w:hyperlink>
              </w:p>
            </w:tc>
          </w:tr>
          <w:tr w:rsidR="00854AAC" w14:paraId="7C980BEC" w14:textId="77777777" w:rsidTr="00854AAC">
            <w:trPr>
              <w:divId w:val="418671589"/>
              <w:tblCellSpacing w:w="15" w:type="dxa"/>
            </w:trPr>
            <w:tc>
              <w:tcPr>
                <w:tcW w:w="230" w:type="pct"/>
                <w:hideMark/>
              </w:tcPr>
              <w:p w14:paraId="14BC4B55" w14:textId="77777777" w:rsidR="00854AAC" w:rsidRDefault="00854AAC">
                <w:pPr>
                  <w:pStyle w:val="Bibliography"/>
                  <w:rPr>
                    <w:noProof/>
                  </w:rPr>
                </w:pPr>
                <w:r>
                  <w:rPr>
                    <w:noProof/>
                  </w:rPr>
                  <w:t xml:space="preserve">[4] </w:t>
                </w:r>
              </w:p>
            </w:tc>
            <w:tc>
              <w:tcPr>
                <w:tcW w:w="0" w:type="auto"/>
                <w:hideMark/>
              </w:tcPr>
              <w:p w14:paraId="16A2BF78" w14:textId="55B640E4" w:rsidR="00854AAC" w:rsidRDefault="001D5C57" w:rsidP="0073143B">
                <w:pPr>
                  <w:pStyle w:val="Bibliography"/>
                  <w:rPr>
                    <w:noProof/>
                  </w:rPr>
                </w:pPr>
                <w:r w:rsidRPr="001D5C57">
                  <w:rPr>
                    <w:noProof/>
                  </w:rPr>
                  <w:t xml:space="preserve">Nepal Clearing House Ltd., </w:t>
                </w:r>
                <w:r w:rsidRPr="001D5C57">
                  <w:rPr>
                    <w:i/>
                    <w:iCs/>
                    <w:noProof/>
                  </w:rPr>
                  <w:t>NPIx Cross-Border Payment Operating Rules, Version 2.0</w:t>
                </w:r>
                <w:r w:rsidRPr="001D5C57">
                  <w:rPr>
                    <w:noProof/>
                  </w:rPr>
                  <w:t xml:space="preserve">, Oct. 2024. [Online]. Available: </w:t>
                </w:r>
                <w:hyperlink r:id="rId11" w:tgtFrame="_new" w:history="1">
                  <w:r w:rsidRPr="001D5C57">
                    <w:rPr>
                      <w:rStyle w:val="Hyperlink"/>
                      <w:noProof/>
                    </w:rPr>
                    <w:t>https://nchl.com.np/wp-content/uploads/2024/10/NPIx_Cross_Border_Payment_Operating-Rules_Ver-2.0-Oct-2024_Final_NRB-Approved.pdf</w:t>
                  </w:r>
                </w:hyperlink>
              </w:p>
            </w:tc>
          </w:tr>
          <w:tr w:rsidR="00854AAC" w14:paraId="41A7F566" w14:textId="77777777" w:rsidTr="00854AAC">
            <w:trPr>
              <w:divId w:val="418671589"/>
              <w:tblCellSpacing w:w="15" w:type="dxa"/>
            </w:trPr>
            <w:tc>
              <w:tcPr>
                <w:tcW w:w="230" w:type="pct"/>
                <w:hideMark/>
              </w:tcPr>
              <w:p w14:paraId="700E58D0" w14:textId="77777777" w:rsidR="00854AAC" w:rsidRDefault="00854AAC">
                <w:pPr>
                  <w:pStyle w:val="Bibliography"/>
                  <w:rPr>
                    <w:noProof/>
                  </w:rPr>
                </w:pPr>
                <w:r>
                  <w:rPr>
                    <w:noProof/>
                  </w:rPr>
                  <w:t xml:space="preserve">[5] </w:t>
                </w:r>
              </w:p>
            </w:tc>
            <w:tc>
              <w:tcPr>
                <w:tcW w:w="0" w:type="auto"/>
                <w:hideMark/>
              </w:tcPr>
              <w:p w14:paraId="71721BF8" w14:textId="0EC2376E" w:rsidR="00854AAC" w:rsidRDefault="00483E24" w:rsidP="0073143B">
                <w:pPr>
                  <w:pStyle w:val="Bibliography"/>
                  <w:rPr>
                    <w:noProof/>
                  </w:rPr>
                </w:pPr>
                <w:r w:rsidRPr="00483E24">
                  <w:rPr>
                    <w:noProof/>
                  </w:rPr>
                  <w:t xml:space="preserve">Nepal Clearing House Ltd., “Alipay+ Mobile Payment Partner Users Can Now Scan and Pay with Interoperable NEPALPAY QR While Visiting Nepal,” 2024. [Online]. Available: </w:t>
                </w:r>
                <w:hyperlink r:id="rId12" w:tgtFrame="_new" w:history="1">
                  <w:r w:rsidRPr="00483E24">
                    <w:rPr>
                      <w:rStyle w:val="Hyperlink"/>
                      <w:noProof/>
                    </w:rPr>
                    <w:t>https://nchl.com.np/alipay-mobile-payment-partner-users-can-now-scan-and-pay-with-interoperable-nepalpay-qr-while-visiting-nepal/</w:t>
                  </w:r>
                </w:hyperlink>
              </w:p>
            </w:tc>
          </w:tr>
          <w:tr w:rsidR="00854AAC" w14:paraId="25A2996F" w14:textId="77777777" w:rsidTr="00854AAC">
            <w:trPr>
              <w:divId w:val="418671589"/>
              <w:tblCellSpacing w:w="15" w:type="dxa"/>
            </w:trPr>
            <w:tc>
              <w:tcPr>
                <w:tcW w:w="230" w:type="pct"/>
                <w:hideMark/>
              </w:tcPr>
              <w:p w14:paraId="637E3114" w14:textId="77777777" w:rsidR="00854AAC" w:rsidRDefault="00854AAC">
                <w:pPr>
                  <w:pStyle w:val="Bibliography"/>
                  <w:rPr>
                    <w:noProof/>
                  </w:rPr>
                </w:pPr>
                <w:r>
                  <w:rPr>
                    <w:noProof/>
                  </w:rPr>
                  <w:t xml:space="preserve">[6] </w:t>
                </w:r>
              </w:p>
            </w:tc>
            <w:tc>
              <w:tcPr>
                <w:tcW w:w="0" w:type="auto"/>
                <w:hideMark/>
              </w:tcPr>
              <w:p w14:paraId="7B2DC319" w14:textId="4037BA45" w:rsidR="00854AAC" w:rsidRDefault="00483E24" w:rsidP="0073143B">
                <w:pPr>
                  <w:pStyle w:val="Bibliography"/>
                  <w:rPr>
                    <w:noProof/>
                  </w:rPr>
                </w:pPr>
                <w:r w:rsidRPr="00483E24">
                  <w:rPr>
                    <w:noProof/>
                  </w:rPr>
                  <w:t xml:space="preserve">Committee on Payments and Market Infrastructures, Bank for International Settlements, “Acta non verba: interlinking fast payment systems to enhance cross-border payments,” </w:t>
                </w:r>
                <w:r w:rsidRPr="00483E24">
                  <w:rPr>
                    <w:i/>
                    <w:iCs/>
                    <w:noProof/>
                  </w:rPr>
                  <w:t>CPMI Brief</w:t>
                </w:r>
                <w:r w:rsidRPr="00483E24">
                  <w:rPr>
                    <w:noProof/>
                  </w:rPr>
                  <w:t xml:space="preserve">, no. 7, Feb. 2025. [Online]. Available: </w:t>
                </w:r>
                <w:hyperlink r:id="rId13" w:tgtFrame="_new" w:history="1">
                  <w:r w:rsidRPr="00483E24">
                    <w:rPr>
                      <w:rStyle w:val="Hyperlink"/>
                      <w:noProof/>
                    </w:rPr>
                    <w:t>https://www.bis.org/cpmi/publ/brief7.htm</w:t>
                  </w:r>
                </w:hyperlink>
              </w:p>
            </w:tc>
          </w:tr>
          <w:tr w:rsidR="00854AAC" w14:paraId="5AB9C56E" w14:textId="77777777" w:rsidTr="00854AAC">
            <w:trPr>
              <w:divId w:val="418671589"/>
              <w:tblCellSpacing w:w="15" w:type="dxa"/>
            </w:trPr>
            <w:tc>
              <w:tcPr>
                <w:tcW w:w="230" w:type="pct"/>
                <w:hideMark/>
              </w:tcPr>
              <w:p w14:paraId="69E4FAD5" w14:textId="77777777" w:rsidR="00854AAC" w:rsidRDefault="00854AAC">
                <w:pPr>
                  <w:pStyle w:val="Bibliography"/>
                  <w:rPr>
                    <w:noProof/>
                  </w:rPr>
                </w:pPr>
                <w:r>
                  <w:rPr>
                    <w:noProof/>
                  </w:rPr>
                  <w:t xml:space="preserve">[7] </w:t>
                </w:r>
              </w:p>
            </w:tc>
            <w:tc>
              <w:tcPr>
                <w:tcW w:w="0" w:type="auto"/>
                <w:hideMark/>
              </w:tcPr>
              <w:p w14:paraId="1077B079" w14:textId="03CB5E8B" w:rsidR="00854AAC" w:rsidRDefault="00483E24" w:rsidP="0073143B">
                <w:pPr>
                  <w:pStyle w:val="Bibliography"/>
                  <w:rPr>
                    <w:noProof/>
                  </w:rPr>
                </w:pPr>
                <w:r w:rsidRPr="00483E24">
                  <w:rPr>
                    <w:noProof/>
                  </w:rPr>
                  <w:t xml:space="preserve">S. Claessens and T. Rice, “Cross-border payment technologies: innovations and challenges,” </w:t>
                </w:r>
                <w:r w:rsidRPr="00483E24">
                  <w:rPr>
                    <w:i/>
                    <w:iCs/>
                    <w:noProof/>
                  </w:rPr>
                  <w:t>BIS Papers</w:t>
                </w:r>
                <w:r w:rsidRPr="00483E24">
                  <w:rPr>
                    <w:noProof/>
                  </w:rPr>
                  <w:t xml:space="preserve">, no. 167, 2026. [Online]. Available: </w:t>
                </w:r>
                <w:hyperlink r:id="rId14" w:tgtFrame="_new" w:history="1">
                  <w:r w:rsidRPr="00483E24">
                    <w:rPr>
                      <w:rStyle w:val="Hyperlink"/>
                      <w:noProof/>
                    </w:rPr>
                    <w:t>https://www.bis.org/publ/bppdf/bispap167.htm</w:t>
                  </w:r>
                </w:hyperlink>
              </w:p>
            </w:tc>
          </w:tr>
          <w:tr w:rsidR="00854AAC" w14:paraId="2C89CEC5" w14:textId="77777777" w:rsidTr="00854AAC">
            <w:trPr>
              <w:divId w:val="418671589"/>
              <w:tblCellSpacing w:w="15" w:type="dxa"/>
            </w:trPr>
            <w:tc>
              <w:tcPr>
                <w:tcW w:w="230" w:type="pct"/>
                <w:hideMark/>
              </w:tcPr>
              <w:p w14:paraId="23D80500" w14:textId="77777777" w:rsidR="00854AAC" w:rsidRDefault="00854AAC">
                <w:pPr>
                  <w:pStyle w:val="Bibliography"/>
                  <w:rPr>
                    <w:noProof/>
                  </w:rPr>
                </w:pPr>
                <w:r>
                  <w:rPr>
                    <w:noProof/>
                  </w:rPr>
                  <w:t xml:space="preserve">[8] </w:t>
                </w:r>
              </w:p>
            </w:tc>
            <w:tc>
              <w:tcPr>
                <w:tcW w:w="0" w:type="auto"/>
                <w:hideMark/>
              </w:tcPr>
              <w:p w14:paraId="31448407" w14:textId="73720021" w:rsidR="00854AAC" w:rsidRDefault="0099033F" w:rsidP="0073143B">
                <w:pPr>
                  <w:pStyle w:val="Bibliography"/>
                  <w:rPr>
                    <w:noProof/>
                  </w:rPr>
                </w:pPr>
                <w:r w:rsidRPr="0099033F">
                  <w:rPr>
                    <w:noProof/>
                  </w:rPr>
                  <w:t xml:space="preserve">Swift, “What is Swift?,” 2026. [Online]. Available: </w:t>
                </w:r>
                <w:hyperlink r:id="rId15" w:tgtFrame="_new" w:history="1">
                  <w:r w:rsidRPr="0099033F">
                    <w:rPr>
                      <w:rStyle w:val="Hyperlink"/>
                      <w:noProof/>
                    </w:rPr>
                    <w:t>https://www.swift.com/about-us/who-we-are/what-swift</w:t>
                  </w:r>
                </w:hyperlink>
              </w:p>
            </w:tc>
          </w:tr>
          <w:tr w:rsidR="00854AAC" w14:paraId="7F0C8015" w14:textId="77777777" w:rsidTr="00854AAC">
            <w:trPr>
              <w:divId w:val="418671589"/>
              <w:tblCellSpacing w:w="15" w:type="dxa"/>
            </w:trPr>
            <w:tc>
              <w:tcPr>
                <w:tcW w:w="230" w:type="pct"/>
                <w:hideMark/>
              </w:tcPr>
              <w:p w14:paraId="3DCE2752" w14:textId="77777777" w:rsidR="00854AAC" w:rsidRDefault="00854AAC">
                <w:pPr>
                  <w:pStyle w:val="Bibliography"/>
                  <w:rPr>
                    <w:noProof/>
                  </w:rPr>
                </w:pPr>
                <w:r>
                  <w:rPr>
                    <w:noProof/>
                  </w:rPr>
                  <w:t xml:space="preserve">[9] </w:t>
                </w:r>
              </w:p>
            </w:tc>
            <w:tc>
              <w:tcPr>
                <w:tcW w:w="0" w:type="auto"/>
                <w:hideMark/>
              </w:tcPr>
              <w:p w14:paraId="28C740C5" w14:textId="58D08471" w:rsidR="00854AAC" w:rsidRDefault="0099033F" w:rsidP="0073143B">
                <w:pPr>
                  <w:pStyle w:val="Bibliography"/>
                  <w:rPr>
                    <w:noProof/>
                  </w:rPr>
                </w:pPr>
                <w:r w:rsidRPr="0099033F">
                  <w:rPr>
                    <w:noProof/>
                  </w:rPr>
                  <w:t xml:space="preserve">Visa, “Visa Direct,” 2026. [Online]. Available: </w:t>
                </w:r>
                <w:hyperlink r:id="rId16" w:tgtFrame="_new" w:history="1">
                  <w:r w:rsidRPr="0099033F">
                    <w:rPr>
                      <w:rStyle w:val="Hyperlink"/>
                      <w:noProof/>
                    </w:rPr>
                    <w:t>https://www.visa.com/en-us/products/visa-direct</w:t>
                  </w:r>
                </w:hyperlink>
                <w:r w:rsidR="00854AAC">
                  <w:rPr>
                    <w:noProof/>
                  </w:rPr>
                  <w:t>.</w:t>
                </w:r>
              </w:p>
            </w:tc>
          </w:tr>
          <w:tr w:rsidR="00854AAC" w14:paraId="0E12A3E1" w14:textId="77777777" w:rsidTr="00854AAC">
            <w:trPr>
              <w:divId w:val="418671589"/>
              <w:tblCellSpacing w:w="15" w:type="dxa"/>
            </w:trPr>
            <w:tc>
              <w:tcPr>
                <w:tcW w:w="230" w:type="pct"/>
                <w:hideMark/>
              </w:tcPr>
              <w:p w14:paraId="1D9AA084" w14:textId="77777777" w:rsidR="00854AAC" w:rsidRDefault="00854AAC">
                <w:pPr>
                  <w:pStyle w:val="Bibliography"/>
                  <w:rPr>
                    <w:noProof/>
                  </w:rPr>
                </w:pPr>
                <w:r>
                  <w:rPr>
                    <w:noProof/>
                  </w:rPr>
                  <w:t xml:space="preserve">[10] </w:t>
                </w:r>
              </w:p>
            </w:tc>
            <w:tc>
              <w:tcPr>
                <w:tcW w:w="0" w:type="auto"/>
                <w:hideMark/>
              </w:tcPr>
              <w:p w14:paraId="500C973B" w14:textId="668CA5AF" w:rsidR="00854AAC" w:rsidRDefault="00854AAC">
                <w:pPr>
                  <w:pStyle w:val="Bibliography"/>
                  <w:rPr>
                    <w:noProof/>
                  </w:rPr>
                </w:pPr>
                <w:r w:rsidRPr="00854AAC">
                  <w:rPr>
                    <w:noProof/>
                  </w:rPr>
                  <w:t xml:space="preserve">Mastercard, “Mastercard Move,” 2026. [Online]. Available: </w:t>
                </w:r>
                <w:hyperlink r:id="rId17" w:tgtFrame="_new" w:history="1">
                  <w:r w:rsidRPr="00854AAC">
                    <w:rPr>
                      <w:rStyle w:val="Hyperlink"/>
                      <w:noProof/>
                    </w:rPr>
                    <w:t>https://www.mastercard.com/global/en/business/payments/mastercard-move.html</w:t>
                  </w:r>
                </w:hyperlink>
                <w:r>
                  <w:rPr>
                    <w:noProof/>
                  </w:rPr>
                  <w:t>].</w:t>
                </w:r>
              </w:p>
            </w:tc>
          </w:tr>
        </w:tbl>
        <w:p w14:paraId="10BB5CDD" w14:textId="77777777" w:rsidR="00854AAC" w:rsidRDefault="00854AAC">
          <w:pPr>
            <w:divId w:val="418671589"/>
            <w:rPr>
              <w:rFonts w:eastAsia="Times New Roman"/>
              <w:noProof/>
            </w:rPr>
          </w:pPr>
        </w:p>
        <w:p w14:paraId="69E2874E" w14:textId="0B8B768F" w:rsidR="00E62D4B" w:rsidRPr="00132FFA" w:rsidRDefault="00132FFA" w:rsidP="00132FFA">
          <w:pPr>
            <w:spacing w:line="360" w:lineRule="auto"/>
          </w:pPr>
          <w:r w:rsidRPr="00F22691">
            <w:rPr>
              <w:rFonts w:cs="Times New Roman"/>
            </w:rPr>
            <w:lastRenderedPageBreak/>
            <w:fldChar w:fldCharType="end"/>
          </w:r>
        </w:p>
      </w:sdtContent>
    </w:sdt>
    <w:sectPr w:rsidR="00E62D4B" w:rsidRPr="00132FFA" w:rsidSect="004C42AE">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7D1C1" w14:textId="77777777" w:rsidR="00EF7C80" w:rsidRDefault="00EF7C80" w:rsidP="000D4CE7">
      <w:pPr>
        <w:spacing w:after="0" w:line="240" w:lineRule="auto"/>
      </w:pPr>
      <w:r>
        <w:separator/>
      </w:r>
    </w:p>
  </w:endnote>
  <w:endnote w:type="continuationSeparator" w:id="0">
    <w:p w14:paraId="62636CB3" w14:textId="77777777" w:rsidR="00EF7C80" w:rsidRDefault="00EF7C80" w:rsidP="000D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B90A8" w14:textId="77777777" w:rsidR="00EF7C80" w:rsidRDefault="00EF7C80" w:rsidP="000D4CE7">
      <w:pPr>
        <w:spacing w:after="0" w:line="240" w:lineRule="auto"/>
      </w:pPr>
      <w:r>
        <w:separator/>
      </w:r>
    </w:p>
  </w:footnote>
  <w:footnote w:type="continuationSeparator" w:id="0">
    <w:p w14:paraId="70E7079D" w14:textId="77777777" w:rsidR="00EF7C80" w:rsidRDefault="00EF7C80" w:rsidP="000D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68D"/>
    <w:multiLevelType w:val="hybridMultilevel"/>
    <w:tmpl w:val="BAB2E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D144E"/>
    <w:multiLevelType w:val="multilevel"/>
    <w:tmpl w:val="53D2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314DF"/>
    <w:multiLevelType w:val="multilevel"/>
    <w:tmpl w:val="D548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8287D"/>
    <w:multiLevelType w:val="hybridMultilevel"/>
    <w:tmpl w:val="5F16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16154"/>
    <w:multiLevelType w:val="multilevel"/>
    <w:tmpl w:val="629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05988"/>
    <w:multiLevelType w:val="multilevel"/>
    <w:tmpl w:val="E9FE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A6C5B"/>
    <w:multiLevelType w:val="hybridMultilevel"/>
    <w:tmpl w:val="65668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F52EB9"/>
    <w:multiLevelType w:val="hybridMultilevel"/>
    <w:tmpl w:val="6AD865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370903"/>
    <w:multiLevelType w:val="hybridMultilevel"/>
    <w:tmpl w:val="CD8AA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E622F8"/>
    <w:multiLevelType w:val="multilevel"/>
    <w:tmpl w:val="5B02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55212"/>
    <w:multiLevelType w:val="multilevel"/>
    <w:tmpl w:val="22D00B88"/>
    <w:lvl w:ilvl="0">
      <w:start w:val="1"/>
      <w:numFmt w:val="bullet"/>
      <w:lvlText w:val=""/>
      <w:lvlJc w:val="left"/>
      <w:pPr>
        <w:ind w:left="720" w:hanging="360"/>
      </w:pPr>
      <w:rPr>
        <w:rFonts w:ascii="Symbol" w:hAnsi="Symbol"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31B05C30"/>
    <w:multiLevelType w:val="hybridMultilevel"/>
    <w:tmpl w:val="C428A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0104F6"/>
    <w:multiLevelType w:val="hybridMultilevel"/>
    <w:tmpl w:val="31B2F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0E4F76"/>
    <w:multiLevelType w:val="multilevel"/>
    <w:tmpl w:val="57E8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E07FC"/>
    <w:multiLevelType w:val="multilevel"/>
    <w:tmpl w:val="F0AC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F1C0F"/>
    <w:multiLevelType w:val="hybridMultilevel"/>
    <w:tmpl w:val="1158D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CC2AA6"/>
    <w:multiLevelType w:val="hybridMultilevel"/>
    <w:tmpl w:val="E79A7FE8"/>
    <w:lvl w:ilvl="0" w:tplc="88AEE7F4">
      <w:start w:val="1"/>
      <w:numFmt w:val="bullet"/>
      <w:lvlText w:val="●"/>
      <w:lvlJc w:val="left"/>
      <w:pPr>
        <w:ind w:left="720" w:hanging="360"/>
      </w:pPr>
    </w:lvl>
    <w:lvl w:ilvl="1" w:tplc="035E7986">
      <w:start w:val="1"/>
      <w:numFmt w:val="bullet"/>
      <w:lvlText w:val="○"/>
      <w:lvlJc w:val="left"/>
      <w:pPr>
        <w:ind w:left="1440" w:hanging="360"/>
      </w:pPr>
    </w:lvl>
    <w:lvl w:ilvl="2" w:tplc="98FEF4C4">
      <w:start w:val="1"/>
      <w:numFmt w:val="bullet"/>
      <w:lvlText w:val="■"/>
      <w:lvlJc w:val="left"/>
      <w:pPr>
        <w:ind w:left="2160" w:hanging="360"/>
      </w:pPr>
    </w:lvl>
    <w:lvl w:ilvl="3" w:tplc="9B08F5DE">
      <w:start w:val="1"/>
      <w:numFmt w:val="bullet"/>
      <w:lvlText w:val="●"/>
      <w:lvlJc w:val="left"/>
      <w:pPr>
        <w:ind w:left="2880" w:hanging="360"/>
      </w:pPr>
    </w:lvl>
    <w:lvl w:ilvl="4" w:tplc="C82A8668">
      <w:start w:val="1"/>
      <w:numFmt w:val="bullet"/>
      <w:lvlText w:val="○"/>
      <w:lvlJc w:val="left"/>
      <w:pPr>
        <w:ind w:left="3600" w:hanging="360"/>
      </w:pPr>
    </w:lvl>
    <w:lvl w:ilvl="5" w:tplc="C19278DE">
      <w:start w:val="1"/>
      <w:numFmt w:val="bullet"/>
      <w:lvlText w:val="■"/>
      <w:lvlJc w:val="left"/>
      <w:pPr>
        <w:ind w:left="4320" w:hanging="360"/>
      </w:pPr>
    </w:lvl>
    <w:lvl w:ilvl="6" w:tplc="82A8D7CA">
      <w:start w:val="1"/>
      <w:numFmt w:val="bullet"/>
      <w:lvlText w:val="●"/>
      <w:lvlJc w:val="left"/>
      <w:pPr>
        <w:ind w:left="5040" w:hanging="360"/>
      </w:pPr>
    </w:lvl>
    <w:lvl w:ilvl="7" w:tplc="E412109E">
      <w:start w:val="1"/>
      <w:numFmt w:val="bullet"/>
      <w:lvlText w:val="●"/>
      <w:lvlJc w:val="left"/>
      <w:pPr>
        <w:ind w:left="5760" w:hanging="360"/>
      </w:pPr>
    </w:lvl>
    <w:lvl w:ilvl="8" w:tplc="D912341C">
      <w:start w:val="1"/>
      <w:numFmt w:val="bullet"/>
      <w:lvlText w:val="●"/>
      <w:lvlJc w:val="left"/>
      <w:pPr>
        <w:ind w:left="6480" w:hanging="360"/>
      </w:pPr>
    </w:lvl>
  </w:abstractNum>
  <w:abstractNum w:abstractNumId="17" w15:restartNumberingAfterBreak="0">
    <w:nsid w:val="5051726B"/>
    <w:multiLevelType w:val="multilevel"/>
    <w:tmpl w:val="7A0A5C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69B3487"/>
    <w:multiLevelType w:val="multilevel"/>
    <w:tmpl w:val="1E7841A0"/>
    <w:lvl w:ilvl="0">
      <w:start w:val="1"/>
      <w:numFmt w:val="upperRoman"/>
      <w:lvlText w:val="%1."/>
      <w:lvlJc w:val="right"/>
      <w:pPr>
        <w:ind w:left="720" w:hanging="360"/>
      </w:pPr>
      <w:rPr>
        <w:rFonts w:hint="default"/>
        <w:b/>
        <w:bCs/>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A123F65"/>
    <w:multiLevelType w:val="hybridMultilevel"/>
    <w:tmpl w:val="6AA23A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B0C1E95"/>
    <w:multiLevelType w:val="multilevel"/>
    <w:tmpl w:val="EA9271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0D526A3"/>
    <w:multiLevelType w:val="multilevel"/>
    <w:tmpl w:val="D244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20CFC"/>
    <w:multiLevelType w:val="hybridMultilevel"/>
    <w:tmpl w:val="57E8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5355A7"/>
    <w:multiLevelType w:val="hybridMultilevel"/>
    <w:tmpl w:val="5CAA3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565B8F"/>
    <w:multiLevelType w:val="multilevel"/>
    <w:tmpl w:val="79788432"/>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E0B6A9E"/>
    <w:multiLevelType w:val="multilevel"/>
    <w:tmpl w:val="A4862EC6"/>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F4278B5"/>
    <w:multiLevelType w:val="multilevel"/>
    <w:tmpl w:val="0EAE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53DEE"/>
    <w:multiLevelType w:val="multilevel"/>
    <w:tmpl w:val="3CEA461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AD74C6F"/>
    <w:multiLevelType w:val="hybridMultilevel"/>
    <w:tmpl w:val="74C63E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BF12A88"/>
    <w:multiLevelType w:val="multilevel"/>
    <w:tmpl w:val="CDF0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83491"/>
    <w:multiLevelType w:val="hybridMultilevel"/>
    <w:tmpl w:val="D41AA4A8"/>
    <w:lvl w:ilvl="0" w:tplc="5D329E88">
      <w:start w:val="1"/>
      <w:numFmt w:val="bullet"/>
      <w:lvlText w:val="•"/>
      <w:lvlJc w:val="left"/>
      <w:pPr>
        <w:ind w:left="720" w:hanging="360"/>
      </w:pPr>
    </w:lvl>
    <w:lvl w:ilvl="1" w:tplc="5A76C5AA">
      <w:numFmt w:val="decimal"/>
      <w:lvlText w:val=""/>
      <w:lvlJc w:val="left"/>
      <w:pPr>
        <w:ind w:left="0" w:firstLine="0"/>
      </w:pPr>
    </w:lvl>
    <w:lvl w:ilvl="2" w:tplc="9A9E4454">
      <w:numFmt w:val="decimal"/>
      <w:lvlText w:val=""/>
      <w:lvlJc w:val="left"/>
      <w:pPr>
        <w:ind w:left="0" w:firstLine="0"/>
      </w:pPr>
    </w:lvl>
    <w:lvl w:ilvl="3" w:tplc="A008C744">
      <w:numFmt w:val="decimal"/>
      <w:lvlText w:val=""/>
      <w:lvlJc w:val="left"/>
      <w:pPr>
        <w:ind w:left="0" w:firstLine="0"/>
      </w:pPr>
    </w:lvl>
    <w:lvl w:ilvl="4" w:tplc="FD60D4EA">
      <w:numFmt w:val="decimal"/>
      <w:lvlText w:val=""/>
      <w:lvlJc w:val="left"/>
      <w:pPr>
        <w:ind w:left="0" w:firstLine="0"/>
      </w:pPr>
    </w:lvl>
    <w:lvl w:ilvl="5" w:tplc="938E401E">
      <w:numFmt w:val="decimal"/>
      <w:lvlText w:val=""/>
      <w:lvlJc w:val="left"/>
      <w:pPr>
        <w:ind w:left="0" w:firstLine="0"/>
      </w:pPr>
    </w:lvl>
    <w:lvl w:ilvl="6" w:tplc="3A288886">
      <w:numFmt w:val="decimal"/>
      <w:lvlText w:val=""/>
      <w:lvlJc w:val="left"/>
      <w:pPr>
        <w:ind w:left="0" w:firstLine="0"/>
      </w:pPr>
    </w:lvl>
    <w:lvl w:ilvl="7" w:tplc="F584940A">
      <w:numFmt w:val="decimal"/>
      <w:lvlText w:val=""/>
      <w:lvlJc w:val="left"/>
      <w:pPr>
        <w:ind w:left="0" w:firstLine="0"/>
      </w:pPr>
    </w:lvl>
    <w:lvl w:ilvl="8" w:tplc="B7D27EA0">
      <w:numFmt w:val="decimal"/>
      <w:lvlText w:val=""/>
      <w:lvlJc w:val="left"/>
      <w:pPr>
        <w:ind w:left="0" w:firstLine="0"/>
      </w:pPr>
    </w:lvl>
  </w:abstractNum>
  <w:num w:numId="1" w16cid:durableId="1912232543">
    <w:abstractNumId w:val="22"/>
  </w:num>
  <w:num w:numId="2" w16cid:durableId="1582367032">
    <w:abstractNumId w:val="8"/>
  </w:num>
  <w:num w:numId="3" w16cid:durableId="37710465">
    <w:abstractNumId w:val="3"/>
  </w:num>
  <w:num w:numId="4" w16cid:durableId="80369643">
    <w:abstractNumId w:val="15"/>
  </w:num>
  <w:num w:numId="5" w16cid:durableId="2020814295">
    <w:abstractNumId w:val="0"/>
  </w:num>
  <w:num w:numId="6" w16cid:durableId="567155793">
    <w:abstractNumId w:val="12"/>
  </w:num>
  <w:num w:numId="7" w16cid:durableId="1388258812">
    <w:abstractNumId w:val="17"/>
  </w:num>
  <w:num w:numId="8" w16cid:durableId="1968468552">
    <w:abstractNumId w:val="5"/>
  </w:num>
  <w:num w:numId="9" w16cid:durableId="1402099541">
    <w:abstractNumId w:val="6"/>
  </w:num>
  <w:num w:numId="10" w16cid:durableId="1619607425">
    <w:abstractNumId w:val="18"/>
  </w:num>
  <w:num w:numId="11" w16cid:durableId="90902470">
    <w:abstractNumId w:val="26"/>
  </w:num>
  <w:num w:numId="12" w16cid:durableId="648901727">
    <w:abstractNumId w:val="9"/>
  </w:num>
  <w:num w:numId="13" w16cid:durableId="1164008412">
    <w:abstractNumId w:val="1"/>
  </w:num>
  <w:num w:numId="14" w16cid:durableId="2096200097">
    <w:abstractNumId w:val="29"/>
  </w:num>
  <w:num w:numId="15" w16cid:durableId="539393179">
    <w:abstractNumId w:val="2"/>
  </w:num>
  <w:num w:numId="16" w16cid:durableId="156770908">
    <w:abstractNumId w:val="25"/>
  </w:num>
  <w:num w:numId="17" w16cid:durableId="860316026">
    <w:abstractNumId w:val="4"/>
  </w:num>
  <w:num w:numId="18" w16cid:durableId="2037534619">
    <w:abstractNumId w:val="13"/>
  </w:num>
  <w:num w:numId="19" w16cid:durableId="145630823">
    <w:abstractNumId w:val="14"/>
  </w:num>
  <w:num w:numId="20" w16cid:durableId="680202241">
    <w:abstractNumId w:val="21"/>
  </w:num>
  <w:num w:numId="21" w16cid:durableId="877818064">
    <w:abstractNumId w:val="30"/>
  </w:num>
  <w:num w:numId="22" w16cid:durableId="217597356">
    <w:abstractNumId w:val="7"/>
  </w:num>
  <w:num w:numId="23" w16cid:durableId="47801479">
    <w:abstractNumId w:val="28"/>
  </w:num>
  <w:num w:numId="24" w16cid:durableId="747924849">
    <w:abstractNumId w:val="19"/>
  </w:num>
  <w:num w:numId="25" w16cid:durableId="894659887">
    <w:abstractNumId w:val="24"/>
  </w:num>
  <w:num w:numId="26" w16cid:durableId="625354303">
    <w:abstractNumId w:val="23"/>
  </w:num>
  <w:num w:numId="27" w16cid:durableId="1503279956">
    <w:abstractNumId w:val="16"/>
  </w:num>
  <w:num w:numId="28" w16cid:durableId="912011617">
    <w:abstractNumId w:val="10"/>
  </w:num>
  <w:num w:numId="29" w16cid:durableId="2078089171">
    <w:abstractNumId w:val="27"/>
  </w:num>
  <w:num w:numId="30" w16cid:durableId="2112388896">
    <w:abstractNumId w:val="11"/>
  </w:num>
  <w:num w:numId="31" w16cid:durableId="10743999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46"/>
    <w:rsid w:val="00006217"/>
    <w:rsid w:val="000231FC"/>
    <w:rsid w:val="00026D98"/>
    <w:rsid w:val="000351E6"/>
    <w:rsid w:val="00071A48"/>
    <w:rsid w:val="000C32C1"/>
    <w:rsid w:val="000D11D9"/>
    <w:rsid w:val="000D4CE7"/>
    <w:rsid w:val="00125AD2"/>
    <w:rsid w:val="001268B6"/>
    <w:rsid w:val="00132FFA"/>
    <w:rsid w:val="0013717E"/>
    <w:rsid w:val="001442C0"/>
    <w:rsid w:val="001C3B51"/>
    <w:rsid w:val="001C638D"/>
    <w:rsid w:val="001D5C57"/>
    <w:rsid w:val="001D70F3"/>
    <w:rsid w:val="002040A9"/>
    <w:rsid w:val="00205679"/>
    <w:rsid w:val="00220624"/>
    <w:rsid w:val="002354CB"/>
    <w:rsid w:val="00240BED"/>
    <w:rsid w:val="00242F30"/>
    <w:rsid w:val="002606E2"/>
    <w:rsid w:val="00265E5B"/>
    <w:rsid w:val="002B3145"/>
    <w:rsid w:val="002B578C"/>
    <w:rsid w:val="002B7DFF"/>
    <w:rsid w:val="002E2059"/>
    <w:rsid w:val="0032565F"/>
    <w:rsid w:val="00330D20"/>
    <w:rsid w:val="00330EBD"/>
    <w:rsid w:val="00342154"/>
    <w:rsid w:val="00356B8F"/>
    <w:rsid w:val="003768D1"/>
    <w:rsid w:val="003A5F75"/>
    <w:rsid w:val="003B134C"/>
    <w:rsid w:val="003B567F"/>
    <w:rsid w:val="003D4490"/>
    <w:rsid w:val="003D6B20"/>
    <w:rsid w:val="003E46BC"/>
    <w:rsid w:val="00437D0E"/>
    <w:rsid w:val="00453DAA"/>
    <w:rsid w:val="004721AD"/>
    <w:rsid w:val="00481374"/>
    <w:rsid w:val="00483E24"/>
    <w:rsid w:val="004905DF"/>
    <w:rsid w:val="00494328"/>
    <w:rsid w:val="004B27BC"/>
    <w:rsid w:val="004C42AE"/>
    <w:rsid w:val="004C69AD"/>
    <w:rsid w:val="004E0F6F"/>
    <w:rsid w:val="004F0146"/>
    <w:rsid w:val="00505CC4"/>
    <w:rsid w:val="005322EC"/>
    <w:rsid w:val="00556D05"/>
    <w:rsid w:val="0058493E"/>
    <w:rsid w:val="005B6868"/>
    <w:rsid w:val="005C288F"/>
    <w:rsid w:val="005D1FE7"/>
    <w:rsid w:val="00611F0B"/>
    <w:rsid w:val="0069066A"/>
    <w:rsid w:val="006B76BA"/>
    <w:rsid w:val="006C3A5A"/>
    <w:rsid w:val="0073143B"/>
    <w:rsid w:val="00746525"/>
    <w:rsid w:val="00794C1E"/>
    <w:rsid w:val="00796769"/>
    <w:rsid w:val="007B132A"/>
    <w:rsid w:val="007B1380"/>
    <w:rsid w:val="007D534E"/>
    <w:rsid w:val="007E0669"/>
    <w:rsid w:val="007E3221"/>
    <w:rsid w:val="00807E59"/>
    <w:rsid w:val="00824F53"/>
    <w:rsid w:val="0083532E"/>
    <w:rsid w:val="008432F3"/>
    <w:rsid w:val="00854AAC"/>
    <w:rsid w:val="00870ED3"/>
    <w:rsid w:val="008908DD"/>
    <w:rsid w:val="0089756D"/>
    <w:rsid w:val="008C3F56"/>
    <w:rsid w:val="008D04D2"/>
    <w:rsid w:val="008D5B1C"/>
    <w:rsid w:val="008D640A"/>
    <w:rsid w:val="009008D9"/>
    <w:rsid w:val="009546FD"/>
    <w:rsid w:val="0099033F"/>
    <w:rsid w:val="00992EC1"/>
    <w:rsid w:val="009A5EF5"/>
    <w:rsid w:val="009B3A6E"/>
    <w:rsid w:val="009B401C"/>
    <w:rsid w:val="009C7FE0"/>
    <w:rsid w:val="009E7E61"/>
    <w:rsid w:val="009F4775"/>
    <w:rsid w:val="00A335C6"/>
    <w:rsid w:val="00A46D99"/>
    <w:rsid w:val="00A67B19"/>
    <w:rsid w:val="00A73779"/>
    <w:rsid w:val="00A85AC8"/>
    <w:rsid w:val="00AB2DDB"/>
    <w:rsid w:val="00AB35AF"/>
    <w:rsid w:val="00AB6E61"/>
    <w:rsid w:val="00AB7D8E"/>
    <w:rsid w:val="00AC04AA"/>
    <w:rsid w:val="00AC06A8"/>
    <w:rsid w:val="00AC34F2"/>
    <w:rsid w:val="00AE63FF"/>
    <w:rsid w:val="00B05572"/>
    <w:rsid w:val="00B222CE"/>
    <w:rsid w:val="00B334D6"/>
    <w:rsid w:val="00B471B3"/>
    <w:rsid w:val="00B47203"/>
    <w:rsid w:val="00B60CB0"/>
    <w:rsid w:val="00B64247"/>
    <w:rsid w:val="00B65EDA"/>
    <w:rsid w:val="00B72AE1"/>
    <w:rsid w:val="00B8167C"/>
    <w:rsid w:val="00B96221"/>
    <w:rsid w:val="00BA7A1C"/>
    <w:rsid w:val="00BB4E2B"/>
    <w:rsid w:val="00BF455D"/>
    <w:rsid w:val="00C2763B"/>
    <w:rsid w:val="00C53F50"/>
    <w:rsid w:val="00C6260B"/>
    <w:rsid w:val="00C63B31"/>
    <w:rsid w:val="00C85F65"/>
    <w:rsid w:val="00C86563"/>
    <w:rsid w:val="00C97AD4"/>
    <w:rsid w:val="00CB4117"/>
    <w:rsid w:val="00CC74F0"/>
    <w:rsid w:val="00CE0FA0"/>
    <w:rsid w:val="00CE7B73"/>
    <w:rsid w:val="00D4622E"/>
    <w:rsid w:val="00D54CC8"/>
    <w:rsid w:val="00D61E1A"/>
    <w:rsid w:val="00D701B9"/>
    <w:rsid w:val="00D7722F"/>
    <w:rsid w:val="00D86ECE"/>
    <w:rsid w:val="00DF44C8"/>
    <w:rsid w:val="00E00632"/>
    <w:rsid w:val="00E031A9"/>
    <w:rsid w:val="00E20BDD"/>
    <w:rsid w:val="00E30499"/>
    <w:rsid w:val="00E31D58"/>
    <w:rsid w:val="00E34253"/>
    <w:rsid w:val="00E360F8"/>
    <w:rsid w:val="00E47E9E"/>
    <w:rsid w:val="00E62D4B"/>
    <w:rsid w:val="00E775D4"/>
    <w:rsid w:val="00E83797"/>
    <w:rsid w:val="00ED2245"/>
    <w:rsid w:val="00EE1A50"/>
    <w:rsid w:val="00EF04A9"/>
    <w:rsid w:val="00EF7C80"/>
    <w:rsid w:val="00F578A2"/>
    <w:rsid w:val="00F62A0E"/>
    <w:rsid w:val="00F66E3B"/>
    <w:rsid w:val="00FC1B46"/>
    <w:rsid w:val="00FD1F9B"/>
    <w:rsid w:val="00FD52EC"/>
    <w:rsid w:val="00FD53E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0634"/>
  <w15:chartTrackingRefBased/>
  <w15:docId w15:val="{235DA2D9-1E96-4F4E-BB03-73EDBF47B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146"/>
    <w:rPr>
      <w:rFonts w:ascii="Times New Roman" w:hAnsi="Times New Roman"/>
      <w:color w:val="000000" w:themeColor="text1"/>
    </w:rPr>
  </w:style>
  <w:style w:type="paragraph" w:styleId="Heading1">
    <w:name w:val="heading 1"/>
    <w:basedOn w:val="Normal"/>
    <w:next w:val="Normal"/>
    <w:link w:val="Heading1Char"/>
    <w:uiPriority w:val="9"/>
    <w:qFormat/>
    <w:rsid w:val="004F0146"/>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4F0146"/>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4F0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146"/>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4F0146"/>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4F0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46"/>
    <w:rPr>
      <w:rFonts w:eastAsiaTheme="majorEastAsia" w:cstheme="majorBidi"/>
      <w:color w:val="272727" w:themeColor="text1" w:themeTint="D8"/>
    </w:rPr>
  </w:style>
  <w:style w:type="paragraph" w:styleId="Title">
    <w:name w:val="Title"/>
    <w:basedOn w:val="Normal"/>
    <w:next w:val="Normal"/>
    <w:link w:val="TitleChar"/>
    <w:uiPriority w:val="10"/>
    <w:qFormat/>
    <w:rsid w:val="004F0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46"/>
    <w:pPr>
      <w:spacing w:before="160"/>
      <w:jc w:val="center"/>
    </w:pPr>
    <w:rPr>
      <w:i/>
      <w:iCs/>
      <w:color w:val="404040" w:themeColor="text1" w:themeTint="BF"/>
    </w:rPr>
  </w:style>
  <w:style w:type="character" w:customStyle="1" w:styleId="QuoteChar">
    <w:name w:val="Quote Char"/>
    <w:basedOn w:val="DefaultParagraphFont"/>
    <w:link w:val="Quote"/>
    <w:uiPriority w:val="29"/>
    <w:rsid w:val="004F0146"/>
    <w:rPr>
      <w:i/>
      <w:iCs/>
      <w:color w:val="404040" w:themeColor="text1" w:themeTint="BF"/>
    </w:rPr>
  </w:style>
  <w:style w:type="paragraph" w:styleId="ListParagraph">
    <w:name w:val="List Paragraph"/>
    <w:basedOn w:val="Normal"/>
    <w:qFormat/>
    <w:rsid w:val="004F0146"/>
    <w:pPr>
      <w:ind w:left="720"/>
      <w:contextualSpacing/>
    </w:pPr>
  </w:style>
  <w:style w:type="character" w:styleId="IntenseEmphasis">
    <w:name w:val="Intense Emphasis"/>
    <w:basedOn w:val="DefaultParagraphFont"/>
    <w:uiPriority w:val="21"/>
    <w:qFormat/>
    <w:rsid w:val="004F0146"/>
    <w:rPr>
      <w:i/>
      <w:iCs/>
      <w:color w:val="0F4761" w:themeColor="accent1" w:themeShade="BF"/>
    </w:rPr>
  </w:style>
  <w:style w:type="paragraph" w:styleId="IntenseQuote">
    <w:name w:val="Intense Quote"/>
    <w:basedOn w:val="Normal"/>
    <w:next w:val="Normal"/>
    <w:link w:val="IntenseQuoteChar"/>
    <w:uiPriority w:val="30"/>
    <w:qFormat/>
    <w:rsid w:val="004F0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46"/>
    <w:rPr>
      <w:i/>
      <w:iCs/>
      <w:color w:val="0F4761" w:themeColor="accent1" w:themeShade="BF"/>
    </w:rPr>
  </w:style>
  <w:style w:type="character" w:styleId="IntenseReference">
    <w:name w:val="Intense Reference"/>
    <w:basedOn w:val="DefaultParagraphFont"/>
    <w:uiPriority w:val="32"/>
    <w:qFormat/>
    <w:rsid w:val="004F0146"/>
    <w:rPr>
      <w:b/>
      <w:bCs/>
      <w:smallCaps/>
      <w:color w:val="0F4761" w:themeColor="accent1" w:themeShade="BF"/>
      <w:spacing w:val="5"/>
    </w:rPr>
  </w:style>
  <w:style w:type="paragraph" w:customStyle="1" w:styleId="pdq2pgselectionanchorcontainer">
    <w:name w:val="pdq2pg_selectionanchorcontainer"/>
    <w:basedOn w:val="Normal"/>
    <w:rsid w:val="004F0146"/>
    <w:pPr>
      <w:spacing w:before="100" w:beforeAutospacing="1" w:after="100" w:afterAutospacing="1" w:line="240" w:lineRule="auto"/>
    </w:pPr>
    <w:rPr>
      <w:rFonts w:eastAsia="Times New Roman" w:cs="Times New Roman"/>
      <w:color w:val="auto"/>
      <w:kern w:val="0"/>
      <w14:ligatures w14:val="none"/>
    </w:rPr>
  </w:style>
  <w:style w:type="character" w:styleId="Strong">
    <w:name w:val="Strong"/>
    <w:basedOn w:val="DefaultParagraphFont"/>
    <w:uiPriority w:val="22"/>
    <w:qFormat/>
    <w:rsid w:val="004F0146"/>
    <w:rPr>
      <w:b/>
      <w:bCs/>
    </w:rPr>
  </w:style>
  <w:style w:type="character" w:styleId="Hyperlink">
    <w:name w:val="Hyperlink"/>
    <w:basedOn w:val="DefaultParagraphFont"/>
    <w:uiPriority w:val="99"/>
    <w:unhideWhenUsed/>
    <w:rsid w:val="00DF44C8"/>
    <w:rPr>
      <w:color w:val="467886" w:themeColor="hyperlink"/>
      <w:u w:val="single"/>
    </w:rPr>
  </w:style>
  <w:style w:type="character" w:styleId="UnresolvedMention">
    <w:name w:val="Unresolved Mention"/>
    <w:basedOn w:val="DefaultParagraphFont"/>
    <w:uiPriority w:val="99"/>
    <w:semiHidden/>
    <w:unhideWhenUsed/>
    <w:rsid w:val="00DF44C8"/>
    <w:rPr>
      <w:color w:val="605E5C"/>
      <w:shd w:val="clear" w:color="auto" w:fill="E1DFDD"/>
    </w:rPr>
  </w:style>
  <w:style w:type="paragraph" w:styleId="NormalWeb">
    <w:name w:val="Normal (Web)"/>
    <w:basedOn w:val="Normal"/>
    <w:uiPriority w:val="99"/>
    <w:unhideWhenUsed/>
    <w:rsid w:val="00EF04A9"/>
    <w:pPr>
      <w:spacing w:before="100" w:beforeAutospacing="1" w:after="100" w:afterAutospacing="1" w:line="240" w:lineRule="auto"/>
    </w:pPr>
    <w:rPr>
      <w:rFonts w:eastAsia="Times New Roman" w:cs="Times New Roman"/>
      <w:color w:val="auto"/>
      <w:kern w:val="0"/>
      <w:lang w:val="en-GB" w:eastAsia="en-GB" w:bidi="ne-NP"/>
      <w14:ligatures w14:val="none"/>
    </w:rPr>
  </w:style>
  <w:style w:type="paragraph" w:styleId="Caption">
    <w:name w:val="caption"/>
    <w:basedOn w:val="Normal"/>
    <w:next w:val="Normal"/>
    <w:uiPriority w:val="35"/>
    <w:unhideWhenUsed/>
    <w:qFormat/>
    <w:rsid w:val="00D61E1A"/>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83797"/>
  </w:style>
  <w:style w:type="character" w:styleId="Emphasis">
    <w:name w:val="Emphasis"/>
    <w:basedOn w:val="DefaultParagraphFont"/>
    <w:uiPriority w:val="20"/>
    <w:qFormat/>
    <w:rsid w:val="00342154"/>
    <w:rPr>
      <w:i/>
      <w:iCs/>
    </w:rPr>
  </w:style>
  <w:style w:type="paragraph" w:customStyle="1" w:styleId="isselectedend">
    <w:name w:val="isselectedend"/>
    <w:basedOn w:val="Normal"/>
    <w:rsid w:val="002B578C"/>
    <w:pPr>
      <w:spacing w:before="100" w:beforeAutospacing="1" w:after="100" w:afterAutospacing="1" w:line="240" w:lineRule="auto"/>
    </w:pPr>
    <w:rPr>
      <w:rFonts w:eastAsia="Times New Roman" w:cs="Times New Roman"/>
      <w:color w:val="auto"/>
      <w:kern w:val="0"/>
      <w:lang w:val="en-GB" w:eastAsia="en-GB" w:bidi="ne-NP"/>
      <w14:ligatures w14:val="none"/>
    </w:rPr>
  </w:style>
  <w:style w:type="character" w:customStyle="1" w:styleId="text-token-text-primary">
    <w:name w:val="text-token-text-primary"/>
    <w:basedOn w:val="DefaultParagraphFont"/>
    <w:rsid w:val="002B578C"/>
  </w:style>
  <w:style w:type="table" w:styleId="PlainTable1">
    <w:name w:val="Plain Table 1"/>
    <w:basedOn w:val="TableNormal"/>
    <w:uiPriority w:val="41"/>
    <w:rsid w:val="009B3A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9B3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4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CE7"/>
    <w:rPr>
      <w:rFonts w:ascii="Times New Roman" w:hAnsi="Times New Roman"/>
      <w:color w:val="000000" w:themeColor="text1"/>
    </w:rPr>
  </w:style>
  <w:style w:type="paragraph" w:styleId="Footer">
    <w:name w:val="footer"/>
    <w:basedOn w:val="Normal"/>
    <w:link w:val="FooterChar"/>
    <w:uiPriority w:val="99"/>
    <w:unhideWhenUsed/>
    <w:rsid w:val="000D4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CE7"/>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58820">
      <w:bodyDiv w:val="1"/>
      <w:marLeft w:val="0"/>
      <w:marRight w:val="0"/>
      <w:marTop w:val="0"/>
      <w:marBottom w:val="0"/>
      <w:divBdr>
        <w:top w:val="none" w:sz="0" w:space="0" w:color="auto"/>
        <w:left w:val="none" w:sz="0" w:space="0" w:color="auto"/>
        <w:bottom w:val="none" w:sz="0" w:space="0" w:color="auto"/>
        <w:right w:val="none" w:sz="0" w:space="0" w:color="auto"/>
      </w:divBdr>
    </w:div>
    <w:div w:id="325790869">
      <w:bodyDiv w:val="1"/>
      <w:marLeft w:val="0"/>
      <w:marRight w:val="0"/>
      <w:marTop w:val="0"/>
      <w:marBottom w:val="0"/>
      <w:divBdr>
        <w:top w:val="none" w:sz="0" w:space="0" w:color="auto"/>
        <w:left w:val="none" w:sz="0" w:space="0" w:color="auto"/>
        <w:bottom w:val="none" w:sz="0" w:space="0" w:color="auto"/>
        <w:right w:val="none" w:sz="0" w:space="0" w:color="auto"/>
      </w:divBdr>
    </w:div>
    <w:div w:id="347104508">
      <w:bodyDiv w:val="1"/>
      <w:marLeft w:val="0"/>
      <w:marRight w:val="0"/>
      <w:marTop w:val="0"/>
      <w:marBottom w:val="0"/>
      <w:divBdr>
        <w:top w:val="none" w:sz="0" w:space="0" w:color="auto"/>
        <w:left w:val="none" w:sz="0" w:space="0" w:color="auto"/>
        <w:bottom w:val="none" w:sz="0" w:space="0" w:color="auto"/>
        <w:right w:val="none" w:sz="0" w:space="0" w:color="auto"/>
      </w:divBdr>
    </w:div>
    <w:div w:id="418671589">
      <w:bodyDiv w:val="1"/>
      <w:marLeft w:val="0"/>
      <w:marRight w:val="0"/>
      <w:marTop w:val="0"/>
      <w:marBottom w:val="0"/>
      <w:divBdr>
        <w:top w:val="none" w:sz="0" w:space="0" w:color="auto"/>
        <w:left w:val="none" w:sz="0" w:space="0" w:color="auto"/>
        <w:bottom w:val="none" w:sz="0" w:space="0" w:color="auto"/>
        <w:right w:val="none" w:sz="0" w:space="0" w:color="auto"/>
      </w:divBdr>
    </w:div>
    <w:div w:id="469251796">
      <w:bodyDiv w:val="1"/>
      <w:marLeft w:val="0"/>
      <w:marRight w:val="0"/>
      <w:marTop w:val="0"/>
      <w:marBottom w:val="0"/>
      <w:divBdr>
        <w:top w:val="none" w:sz="0" w:space="0" w:color="auto"/>
        <w:left w:val="none" w:sz="0" w:space="0" w:color="auto"/>
        <w:bottom w:val="none" w:sz="0" w:space="0" w:color="auto"/>
        <w:right w:val="none" w:sz="0" w:space="0" w:color="auto"/>
      </w:divBdr>
    </w:div>
    <w:div w:id="635718690">
      <w:bodyDiv w:val="1"/>
      <w:marLeft w:val="0"/>
      <w:marRight w:val="0"/>
      <w:marTop w:val="0"/>
      <w:marBottom w:val="0"/>
      <w:divBdr>
        <w:top w:val="none" w:sz="0" w:space="0" w:color="auto"/>
        <w:left w:val="none" w:sz="0" w:space="0" w:color="auto"/>
        <w:bottom w:val="none" w:sz="0" w:space="0" w:color="auto"/>
        <w:right w:val="none" w:sz="0" w:space="0" w:color="auto"/>
      </w:divBdr>
    </w:div>
    <w:div w:id="1079710124">
      <w:bodyDiv w:val="1"/>
      <w:marLeft w:val="0"/>
      <w:marRight w:val="0"/>
      <w:marTop w:val="0"/>
      <w:marBottom w:val="0"/>
      <w:divBdr>
        <w:top w:val="none" w:sz="0" w:space="0" w:color="auto"/>
        <w:left w:val="none" w:sz="0" w:space="0" w:color="auto"/>
        <w:bottom w:val="none" w:sz="0" w:space="0" w:color="auto"/>
        <w:right w:val="none" w:sz="0" w:space="0" w:color="auto"/>
      </w:divBdr>
    </w:div>
    <w:div w:id="1088768399">
      <w:bodyDiv w:val="1"/>
      <w:marLeft w:val="0"/>
      <w:marRight w:val="0"/>
      <w:marTop w:val="0"/>
      <w:marBottom w:val="0"/>
      <w:divBdr>
        <w:top w:val="none" w:sz="0" w:space="0" w:color="auto"/>
        <w:left w:val="none" w:sz="0" w:space="0" w:color="auto"/>
        <w:bottom w:val="none" w:sz="0" w:space="0" w:color="auto"/>
        <w:right w:val="none" w:sz="0" w:space="0" w:color="auto"/>
      </w:divBdr>
    </w:div>
    <w:div w:id="1100951182">
      <w:bodyDiv w:val="1"/>
      <w:marLeft w:val="0"/>
      <w:marRight w:val="0"/>
      <w:marTop w:val="0"/>
      <w:marBottom w:val="0"/>
      <w:divBdr>
        <w:top w:val="none" w:sz="0" w:space="0" w:color="auto"/>
        <w:left w:val="none" w:sz="0" w:space="0" w:color="auto"/>
        <w:bottom w:val="none" w:sz="0" w:space="0" w:color="auto"/>
        <w:right w:val="none" w:sz="0" w:space="0" w:color="auto"/>
      </w:divBdr>
    </w:div>
    <w:div w:id="1387216954">
      <w:bodyDiv w:val="1"/>
      <w:marLeft w:val="0"/>
      <w:marRight w:val="0"/>
      <w:marTop w:val="0"/>
      <w:marBottom w:val="0"/>
      <w:divBdr>
        <w:top w:val="none" w:sz="0" w:space="0" w:color="auto"/>
        <w:left w:val="none" w:sz="0" w:space="0" w:color="auto"/>
        <w:bottom w:val="none" w:sz="0" w:space="0" w:color="auto"/>
        <w:right w:val="none" w:sz="0" w:space="0" w:color="auto"/>
      </w:divBdr>
    </w:div>
    <w:div w:id="1442917175">
      <w:bodyDiv w:val="1"/>
      <w:marLeft w:val="0"/>
      <w:marRight w:val="0"/>
      <w:marTop w:val="0"/>
      <w:marBottom w:val="0"/>
      <w:divBdr>
        <w:top w:val="none" w:sz="0" w:space="0" w:color="auto"/>
        <w:left w:val="none" w:sz="0" w:space="0" w:color="auto"/>
        <w:bottom w:val="none" w:sz="0" w:space="0" w:color="auto"/>
        <w:right w:val="none" w:sz="0" w:space="0" w:color="auto"/>
      </w:divBdr>
    </w:div>
    <w:div w:id="1498035512">
      <w:bodyDiv w:val="1"/>
      <w:marLeft w:val="0"/>
      <w:marRight w:val="0"/>
      <w:marTop w:val="0"/>
      <w:marBottom w:val="0"/>
      <w:divBdr>
        <w:top w:val="none" w:sz="0" w:space="0" w:color="auto"/>
        <w:left w:val="none" w:sz="0" w:space="0" w:color="auto"/>
        <w:bottom w:val="none" w:sz="0" w:space="0" w:color="auto"/>
        <w:right w:val="none" w:sz="0" w:space="0" w:color="auto"/>
      </w:divBdr>
    </w:div>
    <w:div w:id="1529373249">
      <w:bodyDiv w:val="1"/>
      <w:marLeft w:val="0"/>
      <w:marRight w:val="0"/>
      <w:marTop w:val="0"/>
      <w:marBottom w:val="0"/>
      <w:divBdr>
        <w:top w:val="none" w:sz="0" w:space="0" w:color="auto"/>
        <w:left w:val="none" w:sz="0" w:space="0" w:color="auto"/>
        <w:bottom w:val="none" w:sz="0" w:space="0" w:color="auto"/>
        <w:right w:val="none" w:sz="0" w:space="0" w:color="auto"/>
      </w:divBdr>
    </w:div>
    <w:div w:id="1625036572">
      <w:bodyDiv w:val="1"/>
      <w:marLeft w:val="0"/>
      <w:marRight w:val="0"/>
      <w:marTop w:val="0"/>
      <w:marBottom w:val="0"/>
      <w:divBdr>
        <w:top w:val="none" w:sz="0" w:space="0" w:color="auto"/>
        <w:left w:val="none" w:sz="0" w:space="0" w:color="auto"/>
        <w:bottom w:val="none" w:sz="0" w:space="0" w:color="auto"/>
        <w:right w:val="none" w:sz="0" w:space="0" w:color="auto"/>
      </w:divBdr>
    </w:div>
    <w:div w:id="1728989364">
      <w:bodyDiv w:val="1"/>
      <w:marLeft w:val="0"/>
      <w:marRight w:val="0"/>
      <w:marTop w:val="0"/>
      <w:marBottom w:val="0"/>
      <w:divBdr>
        <w:top w:val="none" w:sz="0" w:space="0" w:color="auto"/>
        <w:left w:val="none" w:sz="0" w:space="0" w:color="auto"/>
        <w:bottom w:val="none" w:sz="0" w:space="0" w:color="auto"/>
        <w:right w:val="none" w:sz="0" w:space="0" w:color="auto"/>
      </w:divBdr>
    </w:div>
    <w:div w:id="1799759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chl.com.np/wp-content/uploads/2025/12/NCHL-AR-2024-25.pdf" TargetMode="External"/><Relationship Id="rId13" Type="http://schemas.openxmlformats.org/officeDocument/2006/relationships/hyperlink" Target="https://www.bis.org/cpmi/publ/brief7.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chl.com.np/alipay-mobile-payment-partner-users-can-now-scan-and-pay-with-interoperable-nepalpay-qr-while-visiting-nepal/?utm_source=chatgpt.com" TargetMode="External"/><Relationship Id="rId17" Type="http://schemas.openxmlformats.org/officeDocument/2006/relationships/hyperlink" Target="https://www.mastercard.com/global/en/business/payments/mastercard-move.html?utm_source=chatgpt.com" TargetMode="External"/><Relationship Id="rId2" Type="http://schemas.openxmlformats.org/officeDocument/2006/relationships/numbering" Target="numbering.xml"/><Relationship Id="rId16" Type="http://schemas.openxmlformats.org/officeDocument/2006/relationships/hyperlink" Target="https://www.visa.com/en-us/products/visa-direct?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chl.com.np/wp-content/uploads/2024/10/NPIx_Cross_Border_Payment_Operating-Rules_Ver-2.0-Oct-2024_Final_NRB-Approved.pdf" TargetMode="External"/><Relationship Id="rId5" Type="http://schemas.openxmlformats.org/officeDocument/2006/relationships/webSettings" Target="webSettings.xml"/><Relationship Id="rId15" Type="http://schemas.openxmlformats.org/officeDocument/2006/relationships/hyperlink" Target="https://www.swift.com/about-us/who-we-are/what-swift?utm_source=chatgpt.com" TargetMode="External"/><Relationship Id="rId10" Type="http://schemas.openxmlformats.org/officeDocument/2006/relationships/hyperlink" Target="https://www.adb.org/publications/advancing-digital-payments-nepa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rb.org.np/departments/psd/?utm_source=chatgpt.com" TargetMode="External"/><Relationship Id="rId14" Type="http://schemas.openxmlformats.org/officeDocument/2006/relationships/hyperlink" Target="https://www.bis.org/publ/bppdf/bispap167.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InternetSite</b:SourceType>
    <b:Guid>{43F33E17-ED01-40BF-A436-1E3539E17538}</b:Guid>
    <b:RefOrder>1</b:RefOrder>
  </b:Source>
  <b:Source>
    <b:Tag>Nep08</b:Tag>
    <b:SourceType>Report</b:SourceType>
    <b:Guid>{1DC7A242-3C03-4B35-AA69-DC42ADA8C264}</b:Guid>
    <b:Year>2008</b:Year>
    <b:Author>
      <b:Author>
        <b:Corporate>Nepal Law Commission</b:Corporate>
      </b:Author>
    </b:Author>
    <b:Title>The Electronic Transactions Act, 2063 (2008)</b:Title>
    <b:Institution>Government of Nepal</b:Institution>
    <b:City>Kathmandu</b:City>
    <b:RefOrder>2</b:RefOrder>
  </b:Source>
  <b:Source>
    <b:Tag>Reu17</b:Tag>
    <b:SourceType>ArticleInAPeriodical</b:SourceType>
    <b:Guid>{3678B7E6-E219-4D4D-BA4B-F0917C6A8049}</b:Guid>
    <b:Author>
      <b:Author>
        <b:NameList>
          <b:Person>
            <b:Last>Reuters</b:Last>
          </b:Person>
        </b:NameList>
      </b:Author>
    </b:Author>
    <b:Title>Nepal Bank Latest Victim in Cyber Heists, Recovers Most of the Funds</b:Title>
    <b:PeriodicalTitle>Business Standard</b:PeriodicalTitle>
    <b:Year>2017</b:Year>
    <b:RefOrder>3</b:RefOrder>
  </b:Source>
  <b:Source>
    <b:Tag>Gov23</b:Tag>
    <b:SourceType>Report</b:SourceType>
    <b:Guid>{F0036717-992D-4D7F-A8EC-19200423DA76}</b:Guid>
    <b:Title>National Cyber Security Policy 2023</b:Title>
    <b:Year>2023</b:Year>
    <b:Author>
      <b:Author>
        <b:Corporate>Government of Nepal</b:Corporate>
      </b:Author>
    </b:Author>
    <b:Institution>Government of Nepal</b:Institution>
    <b:City>Kathmandu</b:City>
    <b:RefOrder>4</b:RefOrder>
  </b:Source>
  <b:Source>
    <b:Tag>Gov231</b:Tag>
    <b:SourceType>Report</b:SourceType>
    <b:Guid>{A6C5419E-D62D-48D2-9563-36EA83FB2AAE}</b:Guid>
    <b:Author>
      <b:Author>
        <b:Corporate>Government of Nepal</b:Corporate>
      </b:Author>
    </b:Author>
    <b:Title>National Cyber Security Policy 2023</b:Title>
    <b:Year>2023</b:Year>
    <b:Institution>Government of Nepal </b:Institution>
    <b:City>Kathmandu</b:City>
    <b:RefOrder>5</b:RefOrder>
  </b:Source>
  <b:Source>
    <b:Tag>Ray24</b:Tag>
    <b:SourceType>ArticleInAPeriodical</b:SourceType>
    <b:Guid>{2A3AEF53-B8C6-4DA5-B183-EF0E43A774D5}</b:Guid>
    <b:Title>Cybercrime Cases Spike in Nepal</b:Title>
    <b:Year>2024</b:Year>
    <b:Author>
      <b:Author>
        <b:NameList>
          <b:Person>
            <b:Last>Ray</b:Last>
            <b:First>A.</b:First>
          </b:Person>
        </b:NameList>
      </b:Author>
    </b:Author>
    <b:PeriodicalTitle>The Kathmandu Post</b:PeriodicalTitle>
    <b:RefOrder>6</b:RefOrder>
  </b:Source>
  <b:Source>
    <b:Tag>24De4</b:Tag>
    <b:SourceType>InternetSite</b:SourceType>
    <b:Guid>{FD4FA611-8AC7-4735-95F6-0FAE9D054285}</b:Guid>
    <b:YearAccessed>2024</b:YearAccessed>
    <b:MonthAccessed>December</b:MonthAccessed>
    <b:DayAccessed>12</b:DayAccessed>
    <b:URL>https://nagarikonline.com/content/11892</b:URL>
    <b:RefOrder>7</b:RefOrder>
  </b:Source>
  <b:Source>
    <b:Tag>24De5</b:Tag>
    <b:SourceType>InternetSite</b:SourceType>
    <b:Guid>{94867202-B995-4907-9639-039DF30401D0}</b:Guid>
    <b:YearAccessed>2024</b:YearAccessed>
    <b:MonthAccessed>December</b:MonthAccessed>
    <b:DayAccessed>12</b:DayAccessed>
    <b:URL>https://nagarikonline.com/content/11892</b:URL>
    <b:RefOrder>8</b:RefOrder>
  </b:Source>
  <b:Source>
    <b:Tag>24De6</b:Tag>
    <b:SourceType>InternetSite</b:SourceType>
    <b:Guid>{D6E840D7-AB33-492D-A3CC-A6C169B31C20}</b:Guid>
    <b:YearAccessed>2024</b:YearAccessed>
    <b:MonthAccessed>December</b:MonthAccessed>
    <b:DayAccessed>12</b:DayAccessed>
    <b:URL>https://english.onlinekhabar.com/a-short-glance-at-cyber-law-and-data-security-in-nepal.html</b:URL>
    <b:RefOrder>9</b:RefOrder>
  </b:Source>
  <b:Source>
    <b:Tag>24De7</b:Tag>
    <b:SourceType>InternetSite</b:SourceType>
    <b:Guid>{AF1D7DFA-4968-49DF-A735-84242DD1805F}</b:Guid>
    <b:YearAccessed>2024</b:YearAccessed>
    <b:MonthAccessed>December</b:MonthAccessed>
    <b:DayAccessed>12</b:DayAccessed>
    <b:URL>https://nepjol.info/index.php/access/article/download/59002/44059/174683</b:URL>
    <b:RefOrder>10</b:RefOrder>
  </b:Source>
  <b:Source>
    <b:Tag>24De8</b:Tag>
    <b:SourceType>InternetSite</b:SourceType>
    <b:Guid>{B8EA3771-0CFC-47DF-B0B7-0811CF61B957}</b:Guid>
    <b:YearAccessed>2024</b:YearAccessed>
    <b:MonthAccessed>December</b:MonthAccessed>
    <b:DayAccessed>12</b:DayAccessed>
    <b:URL>https://www.lawimperial.com/legal-provisions-on-cybercrimes-in-nepal/</b:URL>
    <b:RefOrder>11</b:RefOrder>
  </b:Source>
  <b:Source>
    <b:Tag>Colht</b:Tag>
    <b:SourceType>InternetSite</b:SourceType>
    <b:Guid>{25E1F863-FD04-4977-BB2F-8D5E3D5A01A7}</b:Guid>
    <b:ProductionCompany>Collegenp</b:ProductionCompany>
    <b:URL>https://www.collegenp.com/technology/future-of-cybersecurity-in-nepal-opportunities-and-challenges</b:URL>
    <b:RefOrder>12</b:RefOrder>
  </b:Source>
  <b:Source>
    <b:Tag>Theht</b:Tag>
    <b:SourceType>InternetSite</b:SourceType>
    <b:Guid>{7079A3A0-6D6E-4E4A-BAC3-C6F07FFE603D}</b:Guid>
    <b:ProductionCompany>The Annapurna Express</b:ProductionCompany>
    <b:URL>https://theannapurnaexpress.com/story/47977/</b:URL>
    <b:RefOrder>13</b:RefOrder>
  </b:Source>
  <b:Source>
    <b:Tag>htt</b:Tag>
    <b:SourceType>InternetSite</b:SourceType>
    <b:Guid>{D1843A32-E1B0-48B5-BD2B-5E1A73C2BE96}</b:Guid>
    <b:URL>https://doit.gov.np/content/8/8-electronic-transaction-act-206/</b:URL>
    <b:RefOrder>14</b:RefOrder>
  </b:Source>
  <b:Source>
    <b:Tag>htt1</b:Tag>
    <b:SourceType>InternetSite</b:SourceType>
    <b:Guid>{99E3CE2A-D50F-4722-820C-54E8FDFBB102}</b:Guid>
    <b:URL>https://wips.com.np/research/wips-com-np-legal-regime-of-cyber-crime-in-nepal/</b:URL>
    <b:RefOrder>15</b:RefOrder>
  </b:Source>
  <b:Source>
    <b:Tag>htt2</b:Tag>
    <b:SourceType>InternetSite</b:SourceType>
    <b:Guid>{B5C4F15B-D542-426C-BD48-155472E04A89}</b:Guid>
    <b:URL>https://doit.gov.np/content/8/8-electronic-transaction-act-206/</b:URL>
    <b:RefOrder>16</b:RefOrder>
  </b:Source>
  <b:Source>
    <b:Tag>htt3</b:Tag>
    <b:SourceType>InternetSite</b:SourceType>
    <b:Guid>{5019CA45-A8AD-4111-B806-73735B54DFFA}</b:Guid>
    <b:URL>https://doit.gov.np/content/8/8-electronic-transaction-act-206/</b:URL>
    <b:RefOrder>17</b:RefOrder>
  </b:Source>
  <b:Source>
    <b:Tag>htt4</b:Tag>
    <b:SourceType>InternetSite</b:SourceType>
    <b:Guid>{8FCDEE69-A4F6-450A-9615-18FE038E36DF}</b:Guid>
    <b:URL>https://wips.com.np/research/wips-com-np-legal-regime-of-cyber-crime-in-nepal/</b:URL>
    <b:RefOrder>18</b:RefOrder>
  </b:Source>
</b:Sources>
</file>

<file path=customXml/itemProps1.xml><?xml version="1.0" encoding="utf-8"?>
<ds:datastoreItem xmlns:ds="http://schemas.openxmlformats.org/officeDocument/2006/customXml" ds:itemID="{95CBADB4-7F86-4964-864D-2F088882A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10</Pages>
  <Words>2911</Words>
  <Characters>16593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 Dhakal</dc:creator>
  <cp:keywords/>
  <dc:description/>
  <cp:lastModifiedBy>Ritu Dhakal</cp:lastModifiedBy>
  <cp:revision>40</cp:revision>
  <cp:lastPrinted>2026-08-13T14:10:00Z</cp:lastPrinted>
  <dcterms:created xsi:type="dcterms:W3CDTF">2026-08-14T03:11:00Z</dcterms:created>
  <dcterms:modified xsi:type="dcterms:W3CDTF">2026-08-17T02:05:00Z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id="5Ekv3qCB"/&gt;&lt;style id="http://www.zotero.org/styles/ieee" locale="en-GB" hasBibliography="1" bibliographyStyleHasBeenSet="0"/&gt;&lt;prefs&gt;&lt;pref name="fieldType" value="Field"/&gt;&lt;/prefs&gt;&lt;/data&gt;</vt:lpwstr>
  </property>
</Properties>
</file>