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4AF13" w14:textId="7435ABC7" w:rsidR="007C50FB" w:rsidRPr="007C50FB" w:rsidRDefault="007C50FB" w:rsidP="007C50FB">
      <w:pPr>
        <w:spacing w:after="131"/>
        <w:rPr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</w:t>
      </w:r>
      <w:r w:rsidRPr="007C50FB">
        <w:rPr>
          <w:b/>
          <w:sz w:val="40"/>
          <w:szCs w:val="40"/>
          <w:u w:val="single" w:color="000000"/>
        </w:rPr>
        <w:t>LITERATURE REVIEW</w:t>
      </w:r>
      <w:r w:rsidRPr="007C50FB">
        <w:rPr>
          <w:b/>
          <w:sz w:val="40"/>
          <w:szCs w:val="40"/>
        </w:rPr>
        <w:t xml:space="preserve"> </w:t>
      </w:r>
    </w:p>
    <w:p w14:paraId="6A9155C7" w14:textId="77777777" w:rsidR="007C50FB" w:rsidRDefault="007C50FB"/>
    <w:tbl>
      <w:tblPr>
        <w:tblStyle w:val="TableGrid"/>
        <w:tblpPr w:leftFromText="180" w:rightFromText="180" w:vertAnchor="text" w:horzAnchor="page" w:tblpX="804" w:tblpY="204"/>
        <w:tblW w:w="10138" w:type="dxa"/>
        <w:tblInd w:w="0" w:type="dxa"/>
        <w:tblLayout w:type="fixed"/>
        <w:tblCellMar>
          <w:top w:w="7" w:type="dxa"/>
          <w:left w:w="10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247"/>
        <w:gridCol w:w="1595"/>
        <w:gridCol w:w="1510"/>
        <w:gridCol w:w="1450"/>
        <w:gridCol w:w="2168"/>
        <w:gridCol w:w="2168"/>
      </w:tblGrid>
      <w:tr w:rsidR="000A7138" w14:paraId="6BAD1821" w14:textId="2159BF8E" w:rsidTr="007C50FB">
        <w:trPr>
          <w:trHeight w:val="799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B55A" w14:textId="77777777" w:rsidR="000A7138" w:rsidRDefault="000A7138" w:rsidP="000A7138">
            <w:pPr>
              <w:spacing w:after="0"/>
              <w:ind w:left="5"/>
            </w:pPr>
            <w:r>
              <w:rPr>
                <w:b/>
                <w:sz w:val="20"/>
              </w:rPr>
              <w:t xml:space="preserve">Author(s) &amp; Year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F598" w14:textId="77777777" w:rsidR="000A7138" w:rsidRDefault="000A7138" w:rsidP="000A7138">
            <w:pPr>
              <w:spacing w:after="0"/>
              <w:ind w:left="5"/>
            </w:pPr>
            <w:r>
              <w:rPr>
                <w:b/>
                <w:sz w:val="20"/>
              </w:rPr>
              <w:t xml:space="preserve">Focus of Study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8F06" w14:textId="77777777" w:rsidR="000A7138" w:rsidRDefault="000A7138" w:rsidP="000A7138">
            <w:pPr>
              <w:spacing w:after="0"/>
              <w:ind w:left="5"/>
            </w:pPr>
            <w:r>
              <w:rPr>
                <w:b/>
                <w:sz w:val="20"/>
              </w:rPr>
              <w:t xml:space="preserve">Key </w:t>
            </w:r>
          </w:p>
          <w:p w14:paraId="38FDCBF8" w14:textId="77777777" w:rsidR="000A7138" w:rsidRDefault="000A7138" w:rsidP="000A7138">
            <w:pPr>
              <w:spacing w:after="0"/>
              <w:ind w:left="5"/>
            </w:pPr>
            <w:r>
              <w:rPr>
                <w:b/>
                <w:sz w:val="20"/>
              </w:rPr>
              <w:t xml:space="preserve">Contributions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6CD6B" w14:textId="77777777" w:rsidR="000A7138" w:rsidRDefault="000A7138" w:rsidP="000A7138">
            <w:pPr>
              <w:spacing w:after="0"/>
              <w:ind w:left="5"/>
            </w:pPr>
            <w:r>
              <w:rPr>
                <w:b/>
                <w:sz w:val="20"/>
              </w:rPr>
              <w:t xml:space="preserve">Limitations / Gaps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8A63" w14:textId="77777777" w:rsidR="000A7138" w:rsidRDefault="000A7138" w:rsidP="000A7138">
            <w:pPr>
              <w:spacing w:after="0"/>
              <w:ind w:left="5"/>
            </w:pPr>
            <w:r>
              <w:rPr>
                <w:b/>
                <w:sz w:val="20"/>
              </w:rPr>
              <w:t xml:space="preserve">Relevance to Our Project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7538" w14:textId="4CB2DDE4" w:rsidR="000A7138" w:rsidRDefault="000A7138" w:rsidP="000A7138">
            <w:pPr>
              <w:spacing w:after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Links </w:t>
            </w:r>
          </w:p>
        </w:tc>
      </w:tr>
      <w:tr w:rsidR="000A7138" w14:paraId="65F429F9" w14:textId="779B9585" w:rsidTr="007C50FB">
        <w:trPr>
          <w:trHeight w:val="344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9176" w14:textId="77777777" w:rsidR="000A7138" w:rsidRPr="006A660C" w:rsidRDefault="000A7138" w:rsidP="000A7138">
            <w:pPr>
              <w:spacing w:after="0"/>
              <w:rPr>
                <w:b/>
                <w:sz w:val="20"/>
              </w:rPr>
            </w:pPr>
            <w:r w:rsidRPr="006A660C">
              <w:rPr>
                <w:b/>
                <w:sz w:val="20"/>
              </w:rPr>
              <w:t>Basiri, A. et al. (2016)</w:t>
            </w:r>
          </w:p>
          <w:p w14:paraId="54705639" w14:textId="77777777" w:rsidR="000A7138" w:rsidRDefault="000A7138" w:rsidP="000A7138">
            <w:pPr>
              <w:spacing w:after="0"/>
              <w:ind w:left="5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BA4C" w14:textId="77777777" w:rsidR="000A7138" w:rsidRDefault="000A7138" w:rsidP="000A7138">
            <w:pPr>
              <w:spacing w:after="0"/>
              <w:ind w:left="5"/>
            </w:pPr>
            <w:r w:rsidRPr="006A660C">
              <w:rPr>
                <w:b/>
                <w:sz w:val="20"/>
              </w:rPr>
              <w:t>Chaos Engineering principles and methodology at Netflix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DD8A" w14:textId="77777777" w:rsidR="000A7138" w:rsidRDefault="000A7138" w:rsidP="000A7138">
            <w:pPr>
              <w:spacing w:after="0"/>
              <w:ind w:left="5"/>
            </w:pPr>
            <w:r>
              <w:t>E</w:t>
            </w:r>
            <w:r w:rsidRPr="006A660C">
              <w:t xml:space="preserve">stablished the four foundational principles of chaos engineering: steady-state </w:t>
            </w:r>
            <w:proofErr w:type="spellStart"/>
            <w:r w:rsidRPr="006A660C">
              <w:t>behavior</w:t>
            </w:r>
            <w:proofErr w:type="spellEnd"/>
            <w:r w:rsidRPr="006A660C">
              <w:t>, real-world events, production experiments, continuous automation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A835" w14:textId="77777777" w:rsidR="000A7138" w:rsidRDefault="000A7138" w:rsidP="000A7138">
            <w:pPr>
              <w:spacing w:after="0"/>
              <w:ind w:left="5"/>
            </w:pPr>
            <w:r w:rsidRPr="006A660C">
              <w:rPr>
                <w:b/>
                <w:sz w:val="20"/>
              </w:rPr>
              <w:t>Focused on general distributed systems; doesn't address AI-specific failure modes like rate limiting, authentication, or partial responses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F87B" w14:textId="77777777" w:rsidR="000A7138" w:rsidRDefault="000A7138" w:rsidP="000A7138">
            <w:pPr>
              <w:spacing w:after="0"/>
              <w:ind w:left="5"/>
            </w:pPr>
            <w:r w:rsidRPr="006A660C">
              <w:rPr>
                <w:b/>
                <w:sz w:val="20"/>
              </w:rPr>
              <w:t>PRIMARY BASE PAPER - Provides the theoretical foundation that we extend to AI services; our project is direct application of their methodology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07A7" w14:textId="34DCBF5E" w:rsidR="000A7138" w:rsidRPr="006A660C" w:rsidRDefault="007C50FB" w:rsidP="000A7138">
            <w:pPr>
              <w:spacing w:after="0"/>
              <w:ind w:left="5"/>
              <w:rPr>
                <w:b/>
                <w:sz w:val="20"/>
              </w:rPr>
            </w:pPr>
            <w:hyperlink r:id="rId7" w:history="1">
              <w:r w:rsidRPr="007C50FB">
                <w:rPr>
                  <w:rStyle w:val="Hyperlink"/>
                  <w:b/>
                  <w:sz w:val="20"/>
                </w:rPr>
                <w:t>https://arxiv.org/abs/1702.05843</w:t>
              </w:r>
            </w:hyperlink>
          </w:p>
        </w:tc>
      </w:tr>
      <w:tr w:rsidR="000A7138" w14:paraId="0C8BB126" w14:textId="496660B8" w:rsidTr="007C50FB">
        <w:trPr>
          <w:trHeight w:val="3706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23E6" w14:textId="77777777" w:rsidR="000A7138" w:rsidRDefault="000A7138" w:rsidP="000A7138">
            <w:pPr>
              <w:spacing w:after="0"/>
              <w:ind w:left="5"/>
            </w:pPr>
            <w:r w:rsidRPr="006A660C">
              <w:rPr>
                <w:b/>
                <w:sz w:val="20"/>
              </w:rPr>
              <w:t>Yuan, D. et al. (2014)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24B7" w14:textId="77777777" w:rsidR="000A7138" w:rsidRDefault="000A7138" w:rsidP="000A7138">
            <w:pPr>
              <w:spacing w:after="0"/>
              <w:ind w:left="5" w:right="31"/>
            </w:pPr>
            <w:r w:rsidRPr="006A660C">
              <w:rPr>
                <w:b/>
                <w:sz w:val="20"/>
              </w:rPr>
              <w:t>Analysis of production failures in distributed systems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6B7A" w14:textId="77777777" w:rsidR="000A7138" w:rsidRDefault="000A7138" w:rsidP="000A7138">
            <w:pPr>
              <w:spacing w:after="0"/>
              <w:ind w:left="5"/>
            </w:pPr>
            <w:r w:rsidRPr="006A660C">
              <w:rPr>
                <w:b/>
                <w:sz w:val="20"/>
              </w:rPr>
              <w:t>Found that 92% of catastrophic failures result from incorrect handling of non-fatal errors; simple testing can prevent most critical failures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0FD9" w14:textId="77777777" w:rsidR="000A7138" w:rsidRDefault="000A7138" w:rsidP="000A7138">
            <w:pPr>
              <w:spacing w:after="0"/>
              <w:ind w:left="5" w:right="8"/>
            </w:pPr>
            <w:r w:rsidRPr="006A660C">
              <w:rPr>
                <w:b/>
                <w:sz w:val="20"/>
              </w:rPr>
              <w:t>Analysis-focused rather than providing systematic testing methodology; doesn't address AI service failure patterns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BA38" w14:textId="77777777" w:rsidR="000A7138" w:rsidRDefault="000A7138" w:rsidP="000A7138">
            <w:pPr>
              <w:spacing w:after="0"/>
              <w:ind w:left="5"/>
            </w:pPr>
            <w:r w:rsidRPr="006A660C">
              <w:rPr>
                <w:b/>
                <w:sz w:val="20"/>
              </w:rPr>
              <w:t>Validates the importance of systematic failure testing; supports our approach of proactive failure injection for AI services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3E85" w14:textId="3FEA3D43" w:rsidR="000A7138" w:rsidRPr="006A660C" w:rsidRDefault="007C50FB" w:rsidP="000A7138">
            <w:pPr>
              <w:spacing w:after="0"/>
              <w:ind w:left="5"/>
              <w:rPr>
                <w:b/>
                <w:sz w:val="20"/>
              </w:rPr>
            </w:pPr>
            <w:hyperlink r:id="rId8" w:history="1">
              <w:r w:rsidRPr="007C50FB">
                <w:rPr>
                  <w:rStyle w:val="Hyperlink"/>
                  <w:b/>
                  <w:sz w:val="20"/>
                </w:rPr>
                <w:t>https://www.usenix.org/system/files/conference/osdi14/osdi14-paper-yuan.pdf</w:t>
              </w:r>
            </w:hyperlink>
          </w:p>
        </w:tc>
      </w:tr>
      <w:tr w:rsidR="000A7138" w14:paraId="2E2E4CD6" w14:textId="4D005FB0" w:rsidTr="007C50FB">
        <w:trPr>
          <w:trHeight w:val="2912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A47E" w14:textId="77777777" w:rsidR="000A7138" w:rsidRDefault="000A7138" w:rsidP="000A7138">
            <w:pPr>
              <w:spacing w:after="0"/>
              <w:ind w:left="5" w:right="93"/>
              <w:jc w:val="both"/>
            </w:pPr>
            <w:r w:rsidRPr="006A660C">
              <w:rPr>
                <w:b/>
                <w:sz w:val="20"/>
              </w:rPr>
              <w:t>Richardson, C. (2018)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5DA0" w14:textId="77777777" w:rsidR="000A7138" w:rsidRDefault="000A7138" w:rsidP="000A7138">
            <w:pPr>
              <w:spacing w:after="0"/>
              <w:ind w:left="5"/>
            </w:pPr>
            <w:r w:rsidRPr="000A7138">
              <w:rPr>
                <w:b/>
                <w:sz w:val="20"/>
              </w:rPr>
              <w:t>Microservices patterns including circuit breaker implementations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9386" w14:textId="77777777" w:rsidR="000A7138" w:rsidRPr="000A7138" w:rsidRDefault="000A7138" w:rsidP="000A7138">
            <w:pPr>
              <w:spacing w:after="0"/>
              <w:rPr>
                <w:b/>
                <w:sz w:val="20"/>
              </w:rPr>
            </w:pPr>
            <w:r w:rsidRPr="000A7138">
              <w:rPr>
                <w:b/>
                <w:sz w:val="20"/>
              </w:rPr>
              <w:t>Documented circuit breaker pattern for microservices with implementation guidance and best practices</w:t>
            </w:r>
          </w:p>
          <w:p w14:paraId="4A6A51B2" w14:textId="77777777" w:rsidR="000A7138" w:rsidRDefault="000A7138" w:rsidP="000A7138">
            <w:pPr>
              <w:spacing w:after="0"/>
              <w:ind w:left="5"/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0795" w14:textId="77777777" w:rsidR="000A7138" w:rsidRDefault="000A7138" w:rsidP="000A7138">
            <w:pPr>
              <w:spacing w:after="0"/>
              <w:ind w:left="5" w:right="23"/>
            </w:pPr>
            <w:r w:rsidRPr="000A7138">
              <w:rPr>
                <w:b/>
                <w:sz w:val="20"/>
              </w:rPr>
              <w:t>General microservices patterns; doesn't address AI service-specific considerations like token management or provider-specific errors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AE0" w14:textId="4BD5CB64" w:rsidR="000A7138" w:rsidRDefault="000A7138" w:rsidP="000A7138">
            <w:pPr>
              <w:spacing w:after="0"/>
              <w:ind w:left="5"/>
            </w:pPr>
            <w:r w:rsidRPr="000A7138">
              <w:rPr>
                <w:b/>
                <w:sz w:val="20"/>
              </w:rPr>
              <w:t>Direct relevance to our circuit breaker implementation; provides proven patterns that we adapt for AI services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C805" w14:textId="26AF7DF0" w:rsidR="000A7138" w:rsidRDefault="000A7138" w:rsidP="000A7138">
            <w:pPr>
              <w:spacing w:after="0"/>
              <w:ind w:left="5"/>
              <w:rPr>
                <w:b/>
                <w:sz w:val="20"/>
              </w:rPr>
            </w:pPr>
            <w:hyperlink r:id="rId9" w:history="1">
              <w:r w:rsidRPr="000A7138">
                <w:rPr>
                  <w:rStyle w:val="Hyperlink"/>
                  <w:b/>
                  <w:sz w:val="20"/>
                </w:rPr>
                <w:t>https://www.usenix.org/system/files/conference/osdi14/osdi14-paper-yuan.pdf</w:t>
              </w:r>
            </w:hyperlink>
          </w:p>
        </w:tc>
      </w:tr>
      <w:tr w:rsidR="000A7138" w14:paraId="16E17933" w14:textId="68FD1C90" w:rsidTr="007C50FB">
        <w:trPr>
          <w:trHeight w:val="3176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239A" w14:textId="72BCB83D" w:rsidR="000A7138" w:rsidRDefault="000A7138" w:rsidP="000A7138">
            <w:pPr>
              <w:spacing w:after="0"/>
              <w:ind w:left="5" w:right="83"/>
              <w:jc w:val="both"/>
            </w:pPr>
            <w:r w:rsidRPr="000A7138">
              <w:rPr>
                <w:b/>
                <w:sz w:val="20"/>
              </w:rPr>
              <w:lastRenderedPageBreak/>
              <w:t>Breck, E. et al. (2017)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9816A" w14:textId="4FC1A24E" w:rsidR="000A7138" w:rsidRDefault="000A7138" w:rsidP="000A7138">
            <w:pPr>
              <w:spacing w:after="0"/>
              <w:ind w:left="5"/>
            </w:pPr>
            <w:r w:rsidRPr="000A7138">
              <w:rPr>
                <w:b/>
                <w:sz w:val="20"/>
              </w:rPr>
              <w:t>ML Test Score for production ML systems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C1BD" w14:textId="7793AAA4" w:rsidR="000A7138" w:rsidRDefault="000A7138" w:rsidP="000A7138">
            <w:pPr>
              <w:spacing w:after="0"/>
              <w:ind w:left="5" w:right="35"/>
            </w:pPr>
            <w:r>
              <w:rPr>
                <w:b/>
                <w:sz w:val="20"/>
              </w:rPr>
              <w:t>I</w:t>
            </w:r>
            <w:r w:rsidRPr="000A7138">
              <w:rPr>
                <w:b/>
                <w:sz w:val="20"/>
              </w:rPr>
              <w:t>ntroduced systematic testing framework for ML systems with scoring methodology for production readiness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1773" w14:textId="3A83C5B3" w:rsidR="000A7138" w:rsidRDefault="000A7138" w:rsidP="000A7138">
            <w:pPr>
              <w:spacing w:after="0"/>
              <w:ind w:left="5"/>
            </w:pPr>
            <w:r w:rsidRPr="000A7138">
              <w:rPr>
                <w:b/>
                <w:sz w:val="20"/>
              </w:rPr>
              <w:t>Focused on ML model testing rather than AI service infrastructure; doesn't address multi-provider resilience or failure injection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5B90" w14:textId="62C10432" w:rsidR="000A7138" w:rsidRDefault="000A7138" w:rsidP="000A7138">
            <w:pPr>
              <w:spacing w:after="0"/>
              <w:ind w:left="5" w:right="123"/>
              <w:jc w:val="both"/>
            </w:pPr>
            <w:r w:rsidRPr="000A7138">
              <w:rPr>
                <w:b/>
                <w:sz w:val="20"/>
              </w:rPr>
              <w:t>Provides framework for systematic ML system assessment; our readiness scoring extends this concept to AI service resilience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5FBA" w14:textId="6BDC45A5" w:rsidR="000A7138" w:rsidRDefault="000A7138" w:rsidP="000A7138">
            <w:pPr>
              <w:spacing w:after="0"/>
              <w:ind w:left="5" w:right="123"/>
              <w:jc w:val="both"/>
              <w:rPr>
                <w:b/>
                <w:sz w:val="20"/>
              </w:rPr>
            </w:pPr>
            <w:hyperlink r:id="rId10" w:history="1">
              <w:r w:rsidRPr="000A7138">
                <w:rPr>
                  <w:rStyle w:val="Hyperlink"/>
                  <w:b/>
                  <w:sz w:val="20"/>
                </w:rPr>
                <w:t>https://static.googleusercontent.com/media/research.google.com/en//pubs/archive/aad9f93b86b7addfea4c419b9100c6cdd26cacea.pdf</w:t>
              </w:r>
            </w:hyperlink>
          </w:p>
          <w:p w14:paraId="513DBBB8" w14:textId="77777777" w:rsidR="000A7138" w:rsidRPr="000A7138" w:rsidRDefault="000A7138" w:rsidP="000A7138">
            <w:pPr>
              <w:ind w:firstLine="720"/>
              <w:rPr>
                <w:sz w:val="20"/>
              </w:rPr>
            </w:pPr>
          </w:p>
        </w:tc>
      </w:tr>
      <w:tr w:rsidR="000A7138" w14:paraId="4DB7C1A4" w14:textId="485761E7" w:rsidTr="007C50FB">
        <w:trPr>
          <w:trHeight w:val="3364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E9C" w14:textId="607AC9EC" w:rsidR="000A7138" w:rsidRDefault="000A7138" w:rsidP="000A7138">
            <w:pPr>
              <w:spacing w:after="0"/>
              <w:ind w:left="5"/>
            </w:pPr>
            <w:r w:rsidRPr="000A7138">
              <w:rPr>
                <w:b/>
                <w:sz w:val="20"/>
              </w:rPr>
              <w:t>Crankshaw, D. et al. (2017)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87B3" w14:textId="77777777" w:rsidR="000A7138" w:rsidRPr="000A7138" w:rsidRDefault="000A7138" w:rsidP="000A7138">
            <w:pPr>
              <w:spacing w:after="0"/>
              <w:rPr>
                <w:b/>
                <w:sz w:val="20"/>
              </w:rPr>
            </w:pPr>
            <w:r w:rsidRPr="000A7138">
              <w:rPr>
                <w:b/>
                <w:sz w:val="20"/>
              </w:rPr>
              <w:t> Low-latency prediction serving systems (Clipper)</w:t>
            </w:r>
          </w:p>
          <w:p w14:paraId="2D8172A5" w14:textId="495741EA" w:rsidR="000A7138" w:rsidRDefault="000A7138" w:rsidP="000A7138">
            <w:pPr>
              <w:spacing w:after="0"/>
              <w:ind w:left="5"/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F3F7" w14:textId="08EE086C" w:rsidR="000A7138" w:rsidRDefault="000A7138" w:rsidP="000A7138">
            <w:pPr>
              <w:spacing w:after="0"/>
              <w:ind w:left="5"/>
            </w:pPr>
            <w:r w:rsidRPr="000A7138">
              <w:rPr>
                <w:b/>
                <w:sz w:val="20"/>
              </w:rPr>
              <w:t>Designed serving system for ML models with batching, caching, and adaptive selection; focused on performance optimization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2445" w14:textId="0116B417" w:rsidR="000A7138" w:rsidRDefault="000A7138" w:rsidP="000A7138">
            <w:pPr>
              <w:spacing w:after="0"/>
              <w:ind w:left="5"/>
            </w:pPr>
            <w:r w:rsidRPr="000A7138">
              <w:rPr>
                <w:b/>
                <w:sz w:val="20"/>
              </w:rPr>
              <w:t>Primarily performance-focused; limited discussion of failure handling, resilience testing, or chaos engineering approaches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473B" w14:textId="1D3A5BB3" w:rsidR="000A7138" w:rsidRDefault="000A7138" w:rsidP="000A7138">
            <w:pPr>
              <w:spacing w:after="0"/>
              <w:ind w:left="5"/>
            </w:pPr>
            <w:r w:rsidRPr="000A7138">
              <w:rPr>
                <w:b/>
                <w:sz w:val="20"/>
              </w:rPr>
              <w:t>Provides architectural insights for AI service serving; complements our resilience focus with performance considerations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BD6FB" w14:textId="7C514AC3" w:rsidR="000A7138" w:rsidRDefault="000A7138" w:rsidP="000A7138">
            <w:pPr>
              <w:spacing w:after="0"/>
              <w:ind w:left="5"/>
              <w:rPr>
                <w:b/>
                <w:sz w:val="20"/>
              </w:rPr>
            </w:pPr>
            <w:hyperlink r:id="rId11" w:history="1">
              <w:r w:rsidRPr="000A7138">
                <w:rPr>
                  <w:rStyle w:val="Hyperlink"/>
                  <w:b/>
                  <w:sz w:val="20"/>
                </w:rPr>
                <w:t>https://www.usenix.org/system/files/conference/nsdi17/nsdi17-crankshaw.pdf</w:t>
              </w:r>
            </w:hyperlink>
          </w:p>
          <w:p w14:paraId="5B53AF83" w14:textId="77777777" w:rsidR="000A7138" w:rsidRPr="000A7138" w:rsidRDefault="000A7138" w:rsidP="000A7138">
            <w:pPr>
              <w:ind w:firstLine="720"/>
              <w:rPr>
                <w:sz w:val="20"/>
              </w:rPr>
            </w:pPr>
          </w:p>
        </w:tc>
      </w:tr>
    </w:tbl>
    <w:p w14:paraId="2C604690" w14:textId="77777777" w:rsidR="000A7138" w:rsidRDefault="000A7138">
      <w:pPr>
        <w:spacing w:after="131"/>
        <w:ind w:left="3392"/>
        <w:rPr>
          <w:b/>
          <w:sz w:val="24"/>
          <w:u w:val="single" w:color="000000"/>
        </w:rPr>
      </w:pPr>
    </w:p>
    <w:sectPr w:rsidR="000A7138">
      <w:pgSz w:w="11905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F080D" w14:textId="77777777" w:rsidR="00EA150E" w:rsidRDefault="00EA150E" w:rsidP="000A7138">
      <w:pPr>
        <w:spacing w:after="0" w:line="240" w:lineRule="auto"/>
      </w:pPr>
      <w:r>
        <w:separator/>
      </w:r>
    </w:p>
  </w:endnote>
  <w:endnote w:type="continuationSeparator" w:id="0">
    <w:p w14:paraId="46DB38EA" w14:textId="77777777" w:rsidR="00EA150E" w:rsidRDefault="00EA150E" w:rsidP="000A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181FE" w14:textId="77777777" w:rsidR="00EA150E" w:rsidRDefault="00EA150E" w:rsidP="000A7138">
      <w:pPr>
        <w:spacing w:after="0" w:line="240" w:lineRule="auto"/>
      </w:pPr>
      <w:r>
        <w:separator/>
      </w:r>
    </w:p>
  </w:footnote>
  <w:footnote w:type="continuationSeparator" w:id="0">
    <w:p w14:paraId="653F4BD2" w14:textId="77777777" w:rsidR="00EA150E" w:rsidRDefault="00EA150E" w:rsidP="000A7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71952"/>
    <w:multiLevelType w:val="multilevel"/>
    <w:tmpl w:val="43A0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41C57"/>
    <w:multiLevelType w:val="multilevel"/>
    <w:tmpl w:val="E56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27B9"/>
    <w:multiLevelType w:val="multilevel"/>
    <w:tmpl w:val="210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61693"/>
    <w:multiLevelType w:val="multilevel"/>
    <w:tmpl w:val="E7C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004995">
    <w:abstractNumId w:val="3"/>
  </w:num>
  <w:num w:numId="2" w16cid:durableId="489371396">
    <w:abstractNumId w:val="1"/>
  </w:num>
  <w:num w:numId="3" w16cid:durableId="1108046787">
    <w:abstractNumId w:val="2"/>
  </w:num>
  <w:num w:numId="4" w16cid:durableId="178488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18"/>
    <w:rsid w:val="000A7138"/>
    <w:rsid w:val="00311018"/>
    <w:rsid w:val="0068313D"/>
    <w:rsid w:val="006A660C"/>
    <w:rsid w:val="007C50FB"/>
    <w:rsid w:val="00EA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66CA"/>
  <w15:docId w15:val="{BD895F8C-9958-4828-ADB6-93BF4475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A6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6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713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A7138"/>
    <w:rPr>
      <w:rFonts w:ascii="Calibri" w:eastAsia="Calibri" w:hAnsi="Calibri" w:cs="Mang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A713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A7138"/>
    <w:rPr>
      <w:rFonts w:ascii="Calibri" w:eastAsia="Calibri" w:hAnsi="Calibri" w:cs="Mang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enix.org/system/files/conference/osdi14/osdi14-paper-yuan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1702.0584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enix.org/system/files/conference/nsdi17/nsdi17-crankshaw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tic.googleusercontent.com/media/research.google.com/en/pubs/archive/aad9f93b86b7addfea4c419b9100c6cdd26cace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enix.org/system/files/conference/osdi14/osdi14-paper-yu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Tonk</dc:creator>
  <cp:keywords/>
  <cp:lastModifiedBy>Yashveer Ahlawat</cp:lastModifiedBy>
  <cp:revision>2</cp:revision>
  <dcterms:created xsi:type="dcterms:W3CDTF">2025-09-17T23:16:00Z</dcterms:created>
  <dcterms:modified xsi:type="dcterms:W3CDTF">2025-09-17T23:16:00Z</dcterms:modified>
</cp:coreProperties>
</file>