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highlight w:val="white"/>
        </w:rPr>
      </w:pPr>
      <w:r w:rsidDel="00000000" w:rsidR="00000000" w:rsidRPr="00000000">
        <w:rPr>
          <w:sz w:val="28"/>
          <w:szCs w:val="28"/>
          <w:highlight w:val="white"/>
          <w:rtl w:val="0"/>
        </w:rPr>
        <w:t xml:space="preserve">NFT prices reflect both observable digital product characteristics and market regimes, and the framework offers a cycle-aware tool for asset pricing, platform strategy, and market design in digital art markets.</w:t>
      </w:r>
    </w:p>
    <w:p w:rsidR="00000000" w:rsidDel="00000000" w:rsidP="00000000" w:rsidRDefault="00000000" w:rsidRPr="00000000" w14:paraId="00000002">
      <w:pPr>
        <w:rPr>
          <w:sz w:val="28"/>
          <w:szCs w:val="28"/>
          <w:highlight w:val="white"/>
        </w:rPr>
      </w:pPr>
      <w:hyperlink r:id="rId6">
        <w:r w:rsidDel="00000000" w:rsidR="00000000" w:rsidRPr="00000000">
          <w:rPr>
            <w:color w:val="1155cc"/>
            <w:sz w:val="28"/>
            <w:szCs w:val="28"/>
            <w:highlight w:val="white"/>
            <w:u w:val="single"/>
            <w:rtl w:val="0"/>
          </w:rPr>
          <w:t xml:space="preserve">https://arxiv.org/abs/2509.24879</w:t>
        </w:r>
      </w:hyperlink>
      <w:r w:rsidDel="00000000" w:rsidR="00000000" w:rsidRPr="00000000">
        <w:rPr>
          <w:rtl w:val="0"/>
        </w:rPr>
      </w:r>
    </w:p>
    <w:p w:rsidR="00000000" w:rsidDel="00000000" w:rsidP="00000000" w:rsidRDefault="00000000" w:rsidRPr="00000000" w14:paraId="00000003">
      <w:pPr>
        <w:rPr>
          <w:sz w:val="28"/>
          <w:szCs w:val="28"/>
          <w:highlight w:val="white"/>
        </w:rPr>
      </w:pPr>
      <w:r w:rsidDel="00000000" w:rsidR="00000000" w:rsidRPr="00000000">
        <w:rPr>
          <w:rtl w:val="0"/>
        </w:rPr>
      </w:r>
    </w:p>
    <w:p w:rsidR="00000000" w:rsidDel="00000000" w:rsidP="00000000" w:rsidRDefault="00000000" w:rsidRPr="00000000" w14:paraId="00000004">
      <w:pPr>
        <w:rPr>
          <w:color w:val="1f1f1f"/>
          <w:sz w:val="28"/>
          <w:szCs w:val="28"/>
          <w:highlight w:val="white"/>
        </w:rPr>
      </w:pPr>
      <w:r w:rsidDel="00000000" w:rsidR="00000000" w:rsidRPr="00000000">
        <w:rPr>
          <w:color w:val="1f1f1f"/>
          <w:sz w:val="28"/>
          <w:szCs w:val="28"/>
          <w:highlight w:val="white"/>
          <w:rtl w:val="0"/>
        </w:rPr>
        <w:t xml:space="preserve">The research stream on NFTs—and more specifically, on their value drivers—is in its infancy. Nadini et al. (2021) explore the predictability of NFT monetary value reflected in prices in primary and secondary markets. Their results revealed that past sale history is the best predictor in the primary and secondary market. In addition, they found that visual features and network centrality (or popularity) of buyers and sellers helped to increase price predictability.</w:t>
      </w:r>
    </w:p>
    <w:p w:rsidR="00000000" w:rsidDel="00000000" w:rsidP="00000000" w:rsidRDefault="00000000" w:rsidRPr="00000000" w14:paraId="00000005">
      <w:pPr>
        <w:rPr>
          <w:color w:val="1f1f1f"/>
          <w:sz w:val="28"/>
          <w:szCs w:val="28"/>
          <w:highlight w:val="white"/>
        </w:rPr>
      </w:pPr>
      <w:r w:rsidDel="00000000" w:rsidR="00000000" w:rsidRPr="00000000">
        <w:rPr>
          <w:rtl w:val="0"/>
        </w:rPr>
      </w:r>
    </w:p>
    <w:p w:rsidR="00000000" w:rsidDel="00000000" w:rsidP="00000000" w:rsidRDefault="00000000" w:rsidRPr="00000000" w14:paraId="00000006">
      <w:pPr>
        <w:rPr>
          <w:color w:val="1f1f1f"/>
          <w:sz w:val="28"/>
          <w:szCs w:val="28"/>
          <w:highlight w:val="white"/>
        </w:rPr>
      </w:pPr>
      <w:r w:rsidDel="00000000" w:rsidR="00000000" w:rsidRPr="00000000">
        <w:rPr>
          <w:color w:val="1f1f1f"/>
          <w:sz w:val="28"/>
          <w:szCs w:val="28"/>
          <w:highlight w:val="white"/>
          <w:rtl w:val="0"/>
        </w:rPr>
        <w:t xml:space="preserve">NFTs are a novel type of asset that can be easily authenticated and traded due to their uniquely identifiable nature and built-in ownership and provenance tracking. In addition, they offer utilities, social, and emotional benefits. Notably, unlike traditional investments the norm in the post-purchase stage is selling rather than holding the asset.</w:t>
      </w:r>
    </w:p>
    <w:p w:rsidR="00000000" w:rsidDel="00000000" w:rsidP="00000000" w:rsidRDefault="00000000" w:rsidRPr="00000000" w14:paraId="00000007">
      <w:pPr>
        <w:rPr>
          <w:color w:val="1f1f1f"/>
          <w:sz w:val="28"/>
          <w:szCs w:val="28"/>
          <w:highlight w:val="white"/>
        </w:rPr>
      </w:pPr>
      <w:hyperlink r:id="rId7">
        <w:r w:rsidDel="00000000" w:rsidR="00000000" w:rsidRPr="00000000">
          <w:rPr>
            <w:color w:val="1155cc"/>
            <w:sz w:val="28"/>
            <w:szCs w:val="28"/>
            <w:highlight w:val="white"/>
            <w:u w:val="single"/>
            <w:rtl w:val="0"/>
          </w:rPr>
          <w:t xml:space="preserve">https://www.sciencedirect.com/science/article/abs/pii/S0148296323004149</w:t>
        </w:r>
      </w:hyperlink>
      <w:r w:rsidDel="00000000" w:rsidR="00000000" w:rsidRPr="00000000">
        <w:rPr>
          <w:rtl w:val="0"/>
        </w:rPr>
      </w:r>
    </w:p>
    <w:p w:rsidR="00000000" w:rsidDel="00000000" w:rsidP="00000000" w:rsidRDefault="00000000" w:rsidRPr="00000000" w14:paraId="00000008">
      <w:pPr>
        <w:rPr>
          <w:color w:val="1f1f1f"/>
          <w:sz w:val="28"/>
          <w:szCs w:val="28"/>
          <w:highlight w:val="white"/>
        </w:rPr>
      </w:pPr>
      <w:r w:rsidDel="00000000" w:rsidR="00000000" w:rsidRPr="00000000">
        <w:rPr>
          <w:rtl w:val="0"/>
        </w:rPr>
      </w:r>
    </w:p>
    <w:p w:rsidR="00000000" w:rsidDel="00000000" w:rsidP="00000000" w:rsidRDefault="00000000" w:rsidRPr="00000000" w14:paraId="00000009">
      <w:pPr>
        <w:rPr>
          <w:color w:val="1f1f1f"/>
          <w:sz w:val="28"/>
          <w:szCs w:val="28"/>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abs/2509.24879" TargetMode="External"/><Relationship Id="rId7" Type="http://schemas.openxmlformats.org/officeDocument/2006/relationships/hyperlink" Target="https://www.sciencedirect.com/science/article/abs/pii/S0148296323004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