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70DEC" w14:textId="16554156" w:rsidR="00B60FD9" w:rsidRDefault="00B60FD9">
      <w:pPr>
        <w:rPr>
          <w:lang w:val="en-US"/>
        </w:rPr>
      </w:pPr>
      <w:r>
        <w:rPr>
          <w:noProof/>
        </w:rPr>
        <mc:AlternateContent>
          <mc:Choice Requires="wps">
            <w:drawing>
              <wp:anchor distT="0" distB="0" distL="114300" distR="114300" simplePos="0" relativeHeight="251659264" behindDoc="0" locked="0" layoutInCell="1" allowOverlap="1" wp14:anchorId="64E98C6E" wp14:editId="6AC881F3">
                <wp:simplePos x="0" y="0"/>
                <wp:positionH relativeFrom="column">
                  <wp:posOffset>955387</wp:posOffset>
                </wp:positionH>
                <wp:positionV relativeFrom="paragraph">
                  <wp:posOffset>-678757</wp:posOffset>
                </wp:positionV>
                <wp:extent cx="3581400" cy="727363"/>
                <wp:effectExtent l="0" t="0" r="0" b="0"/>
                <wp:wrapNone/>
                <wp:docPr id="306859635" name="Text Box 1"/>
                <wp:cNvGraphicFramePr/>
                <a:graphic xmlns:a="http://schemas.openxmlformats.org/drawingml/2006/main">
                  <a:graphicData uri="http://schemas.microsoft.com/office/word/2010/wordprocessingShape">
                    <wps:wsp>
                      <wps:cNvSpPr txBox="1"/>
                      <wps:spPr>
                        <a:xfrm>
                          <a:off x="0" y="0"/>
                          <a:ext cx="3581400" cy="727363"/>
                        </a:xfrm>
                        <a:prstGeom prst="rect">
                          <a:avLst/>
                        </a:prstGeom>
                        <a:noFill/>
                        <a:ln>
                          <a:noFill/>
                        </a:ln>
                      </wps:spPr>
                      <wps:txbx>
                        <w:txbxContent>
                          <w:p w14:paraId="1D53C77E" w14:textId="768A8919" w:rsidR="00B60FD9" w:rsidRPr="00B60FD9" w:rsidRDefault="00EB2776" w:rsidP="00B60FD9">
                            <w:pPr>
                              <w:rPr>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w:t>
                            </w:r>
                            <w:r w:rsidR="00B60FD9">
                              <w:rPr>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98C6E" id="_x0000_t202" coordsize="21600,21600" o:spt="202" path="m,l,21600r21600,l21600,xe">
                <v:stroke joinstyle="miter"/>
                <v:path gradientshapeok="t" o:connecttype="rect"/>
              </v:shapetype>
              <v:shape id="Text Box 1" o:spid="_x0000_s1026" type="#_x0000_t202" style="position:absolute;margin-left:75.25pt;margin-top:-53.45pt;width:282pt;height:5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rj6DwIAACMEAAAOAAAAZHJzL2Uyb0RvYy54bWysU01v2zAMvQ/YfxB0X5yvNp0Rp8haZBgQ&#13;&#10;tAXSoWdFlmIDkqhJSuzs14+SnY91Ow27yBRJP5KPT/P7VityEM7XYAo6GgwpEYZDWZtdQb+/rj7d&#13;&#10;UeIDMyVTYERBj8LT+8XHD/PG5mIMFahSOIIgxueNLWgVgs2zzPNKaOYHYIXBoASnWcCr22WlYw2i&#13;&#10;a5WNh8PbrAFXWgdceI/exy5IFwlfSsHDs5ReBKIKir2FdLp0buOZLeYs3zlmq5r3bbB/6EKz2mDR&#13;&#10;M9QjC4zsXf0HlK65Aw8yDDjoDKSsuUgz4DSj4btpNhWzIs2C5Hh7psn/P1j+dNjYF0dC+wVaXGAk&#13;&#10;pLE+9+iM87TS6fjFTgnGkcLjmTbRBsLRObm5G02HGOIYm41nk9tJhMkuf1vnw1cBmkSjoA7Xkthi&#13;&#10;h7UPXeopJRYzsKqVSqtR5jcHYkZPdmkxWqHdtn3fWyiPOI6DbtPe8lWNNdfMhxfmcLXYJso1POMh&#13;&#10;FTQFhd6ipAL382/+mI+MY5SSBqVSUP9jz5ygRH0zuIvPo+k0aitdpjezMV7cdWR7HTF7/QCoxhE+&#13;&#10;DMuTGfODOpnSgX5DVS9jVQwxw7F2QcPJfAidgPFVcLFcpiRUk2VhbTaWR+hIWmT0tX1jzva0B1zY&#13;&#10;E5xExfJ37He5Hd3LfQBZp9VEgjtWe95RiWm5/auJUr++p6zL2178AgAA//8DAFBLAwQUAAYACAAA&#13;&#10;ACEALjuE+eEAAAAPAQAADwAAAGRycy9kb3ducmV2LnhtbExPwU7DMAy9I+0fIiNx25KitWNd02li&#13;&#10;4gpiDCRuWeO1FY1TNdla/h5zgovlZz8/v1dsJ9eJKw6h9aQhWSgQSJW3LdUajm9P8wcQIRqypvOE&#13;&#10;Gr4xwLac3RQmt36kV7weYi1YhEJuNDQx9rmUoWrQmbDwPRLvzn5wJjIcamkHM7K46+S9Upl0piX+&#13;&#10;0JgeHxusvg4Xp+H9+fz5sVQv9d6l/egnJcmtpdZ3t9N+w2W3ARFxin8X8JuB/UPJxk7+QjaIjnGq&#13;&#10;UqZqmCcqW4NgyipZ8ujETQayLOT/HOUPAAAA//8DAFBLAQItABQABgAIAAAAIQC2gziS/gAAAOEB&#13;&#10;AAATAAAAAAAAAAAAAAAAAAAAAABbQ29udGVudF9UeXBlc10ueG1sUEsBAi0AFAAGAAgAAAAhADj9&#13;&#10;If/WAAAAlAEAAAsAAAAAAAAAAAAAAAAALwEAAF9yZWxzLy5yZWxzUEsBAi0AFAAGAAgAAAAhAK3m&#13;&#10;uPoPAgAAIwQAAA4AAAAAAAAAAAAAAAAALgIAAGRycy9lMm9Eb2MueG1sUEsBAi0AFAAGAAgAAAAh&#13;&#10;AC47hPnhAAAADwEAAA8AAAAAAAAAAAAAAAAAaQQAAGRycy9kb3ducmV2LnhtbFBLBQYAAAAABAAE&#13;&#10;APMAAAB3BQAAAAA=&#13;&#10;" filled="f" stroked="f">
                <v:fill o:detectmouseclick="t"/>
                <v:textbox>
                  <w:txbxContent>
                    <w:p w14:paraId="1D53C77E" w14:textId="768A8919" w:rsidR="00B60FD9" w:rsidRPr="00B60FD9" w:rsidRDefault="00EB2776" w:rsidP="00B60FD9">
                      <w:pPr>
                        <w:rPr>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w:t>
                      </w:r>
                      <w:r w:rsidR="00B60FD9">
                        <w:rPr>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iterature review</w:t>
                      </w:r>
                    </w:p>
                  </w:txbxContent>
                </v:textbox>
              </v:shape>
            </w:pict>
          </mc:Fallback>
        </mc:AlternateContent>
      </w:r>
    </w:p>
    <w:p w14:paraId="3A067B9C" w14:textId="4B0370F2" w:rsidR="00B60FD9" w:rsidRPr="00EB2776" w:rsidRDefault="00EB2776">
      <w:pPr>
        <w:rPr>
          <w:rFonts w:ascii="Arial" w:hAnsi="Arial" w:cs="Arial"/>
          <w:sz w:val="28"/>
          <w:szCs w:val="28"/>
          <w:lang w:val="en-US"/>
        </w:rPr>
      </w:pPr>
      <w:r w:rsidRPr="00EB2776">
        <w:rPr>
          <w:rFonts w:ascii="Arial" w:hAnsi="Arial" w:cs="Arial"/>
          <w:sz w:val="28"/>
          <w:szCs w:val="28"/>
        </w:rPr>
        <w:t>This project focuses on developing a machine learning–based model to predict overcrowding in the Emergency Department (ED) of Meir Medical Center, using real operational and clinical data to provide accurate, actionable forecasts that can improve resource allocation and reduce patient wait times. The project’s main challenges include dealing with complex and incomplete hospital data</w:t>
      </w:r>
      <w:r>
        <w:rPr>
          <w:rFonts w:ascii="Arial" w:hAnsi="Arial" w:cs="Arial" w:hint="cs"/>
          <w:sz w:val="28"/>
          <w:szCs w:val="28"/>
          <w:rtl/>
        </w:rPr>
        <w:t xml:space="preserve"> </w:t>
      </w:r>
      <w:r w:rsidRPr="00EB2776">
        <w:rPr>
          <w:rFonts w:ascii="Arial" w:hAnsi="Arial" w:cs="Arial"/>
          <w:sz w:val="28"/>
          <w:szCs w:val="28"/>
        </w:rPr>
        <w:t>, capturing the high variability of ED demand across hours and seasons, selecting the most predictive features, and balancing model accuracy with interpretability for clinical use. Its core innovation lies in creating a fully customized, transparent forecasting model tailored specifically to the patterns and operational realities of an Israeli hospital</w:t>
      </w:r>
      <w:r>
        <w:rPr>
          <w:rFonts w:ascii="Arial" w:hAnsi="Arial" w:cs="Arial" w:hint="cs"/>
          <w:sz w:val="28"/>
          <w:szCs w:val="28"/>
          <w:rtl/>
        </w:rPr>
        <w:t xml:space="preserve"> </w:t>
      </w:r>
      <w:r w:rsidRPr="00EB2776">
        <w:rPr>
          <w:rFonts w:ascii="Arial" w:hAnsi="Arial" w:cs="Arial"/>
          <w:sz w:val="28"/>
          <w:szCs w:val="28"/>
        </w:rPr>
        <w:t>something existing commercial systems cannot provide</w:t>
      </w:r>
      <w:r>
        <w:rPr>
          <w:rFonts w:ascii="Arial" w:hAnsi="Arial" w:cs="Arial" w:hint="cs"/>
          <w:sz w:val="28"/>
          <w:szCs w:val="28"/>
          <w:rtl/>
        </w:rPr>
        <w:t xml:space="preserve"> </w:t>
      </w:r>
      <w:r w:rsidRPr="00EB2776">
        <w:rPr>
          <w:rFonts w:ascii="Arial" w:hAnsi="Arial" w:cs="Arial"/>
          <w:sz w:val="28"/>
          <w:szCs w:val="28"/>
        </w:rPr>
        <w:t>while establishing a scalable foundation for future AI-driven decision support tools in healthcare operations.</w:t>
      </w:r>
    </w:p>
    <w:p w14:paraId="2A2E31F3" w14:textId="77777777" w:rsidR="00EB2776" w:rsidRPr="00EB2776" w:rsidRDefault="00EB2776" w:rsidP="00EB2776">
      <w:pPr>
        <w:pStyle w:val="NormalWeb"/>
        <w:rPr>
          <w:rFonts w:ascii="Arial" w:hAnsi="Arial" w:cs="Arial"/>
          <w:sz w:val="28"/>
          <w:szCs w:val="28"/>
          <w:rtl/>
        </w:rPr>
      </w:pPr>
    </w:p>
    <w:p w14:paraId="13D99990" w14:textId="77777777" w:rsidR="00EB2776" w:rsidRDefault="00EB2776" w:rsidP="00EB2776">
      <w:pPr>
        <w:pStyle w:val="NormalWeb"/>
        <w:rPr>
          <w:rFonts w:ascii="Arial" w:hAnsi="Arial" w:cs="Arial"/>
          <w:sz w:val="28"/>
          <w:szCs w:val="28"/>
          <w:rtl/>
        </w:rPr>
      </w:pPr>
    </w:p>
    <w:p w14:paraId="797651ED" w14:textId="493F1370" w:rsidR="00EB2776" w:rsidRPr="00EB2776" w:rsidRDefault="00EB2776" w:rsidP="00EB2776">
      <w:pPr>
        <w:pStyle w:val="NormalWeb"/>
        <w:rPr>
          <w:rFonts w:ascii="Arial" w:hAnsi="Arial" w:cs="Arial"/>
          <w:sz w:val="28"/>
          <w:szCs w:val="28"/>
        </w:rPr>
      </w:pPr>
      <w:r w:rsidRPr="00EB2776">
        <w:rPr>
          <w:rFonts w:ascii="Arial" w:hAnsi="Arial" w:cs="Arial"/>
          <w:sz w:val="28"/>
          <w:szCs w:val="28"/>
        </w:rPr>
        <w:t>Emergency Department (ED) overcrowding and patient flow pose escalating challenges for hospitals worldwide. The literature reviewed here integrates conceptual analyses, clinical consequences, system-wide reviews, and predictive modeling studies, offering a comprehensive foundation for developing forecasting tools tailored to environments such as Meir Medical Center.</w:t>
      </w:r>
    </w:p>
    <w:p w14:paraId="60F91105" w14:textId="77777777" w:rsidR="00EB2776" w:rsidRDefault="00EB2776" w:rsidP="00EB2776">
      <w:pPr>
        <w:pStyle w:val="NormalWeb"/>
        <w:rPr>
          <w:rFonts w:ascii="Arial" w:hAnsi="Arial" w:cs="Arial"/>
          <w:sz w:val="28"/>
          <w:szCs w:val="28"/>
          <w:rtl/>
        </w:rPr>
      </w:pPr>
    </w:p>
    <w:p w14:paraId="4B31EDB4" w14:textId="3FA31DA0" w:rsidR="00EB2776" w:rsidRPr="00EB2776" w:rsidRDefault="00EB2776" w:rsidP="00EB2776">
      <w:pPr>
        <w:pStyle w:val="NormalWeb"/>
        <w:rPr>
          <w:rFonts w:ascii="Arial" w:hAnsi="Arial" w:cs="Arial"/>
          <w:sz w:val="28"/>
          <w:szCs w:val="28"/>
        </w:rPr>
      </w:pPr>
      <w:r w:rsidRPr="00EB2776">
        <w:rPr>
          <w:rFonts w:ascii="Arial" w:hAnsi="Arial" w:cs="Arial"/>
          <w:sz w:val="28"/>
          <w:szCs w:val="28"/>
        </w:rPr>
        <w:t xml:space="preserve">The publication </w:t>
      </w:r>
      <w:r>
        <w:rPr>
          <w:rStyle w:val="Strong"/>
          <w:rFonts w:ascii="Arial" w:eastAsiaTheme="majorEastAsia" w:hAnsi="Arial" w:cs="Arial"/>
          <w:b w:val="0"/>
          <w:bCs w:val="0"/>
          <w:sz w:val="28"/>
          <w:szCs w:val="28"/>
        </w:rPr>
        <w:t>[2]</w:t>
      </w:r>
      <w:r w:rsidRPr="00EB2776">
        <w:rPr>
          <w:rFonts w:ascii="Arial" w:hAnsi="Arial" w:cs="Arial"/>
          <w:sz w:val="28"/>
          <w:szCs w:val="28"/>
        </w:rPr>
        <w:t xml:space="preserve"> introduces a conceptual framework for ED congestion through the input</w:t>
      </w:r>
      <w:r>
        <w:rPr>
          <w:rFonts w:ascii="Arial" w:hAnsi="Arial" w:cs="Arial" w:hint="cs"/>
          <w:sz w:val="28"/>
          <w:szCs w:val="28"/>
          <w:rtl/>
        </w:rPr>
        <w:t xml:space="preserve"> </w:t>
      </w:r>
      <w:r w:rsidRPr="00EB2776">
        <w:rPr>
          <w:rFonts w:ascii="Arial" w:hAnsi="Arial" w:cs="Arial"/>
          <w:sz w:val="28"/>
          <w:szCs w:val="28"/>
        </w:rPr>
        <w:t>throughput</w:t>
      </w:r>
      <w:r>
        <w:rPr>
          <w:rFonts w:ascii="Arial" w:hAnsi="Arial" w:cs="Arial" w:hint="cs"/>
          <w:sz w:val="28"/>
          <w:szCs w:val="28"/>
          <w:rtl/>
        </w:rPr>
        <w:t xml:space="preserve"> </w:t>
      </w:r>
      <w:r w:rsidRPr="00EB2776">
        <w:rPr>
          <w:rFonts w:ascii="Arial" w:hAnsi="Arial" w:cs="Arial"/>
          <w:sz w:val="28"/>
          <w:szCs w:val="28"/>
        </w:rPr>
        <w:t>output model. It demonstrates how increased arrivals, internal processing delays, resource constraints, and inpatient boarding can disrupt flow  establishing a basis for identifying predictive features.</w:t>
      </w:r>
    </w:p>
    <w:p w14:paraId="2B8862EF" w14:textId="77777777" w:rsidR="00EB2776" w:rsidRDefault="00EB2776" w:rsidP="00EB2776">
      <w:pPr>
        <w:pStyle w:val="NormalWeb"/>
        <w:rPr>
          <w:rFonts w:ascii="Arial" w:hAnsi="Arial" w:cs="Arial"/>
          <w:sz w:val="28"/>
          <w:szCs w:val="28"/>
          <w:rtl/>
        </w:rPr>
      </w:pPr>
    </w:p>
    <w:p w14:paraId="5578EEED" w14:textId="6FB457DE" w:rsidR="00EB2776" w:rsidRPr="00EB2776" w:rsidRDefault="00EB2776" w:rsidP="00EB2776">
      <w:pPr>
        <w:pStyle w:val="NormalWeb"/>
        <w:rPr>
          <w:rFonts w:ascii="Arial" w:hAnsi="Arial" w:cs="Arial"/>
          <w:sz w:val="28"/>
          <w:szCs w:val="28"/>
        </w:rPr>
      </w:pPr>
      <w:r>
        <w:rPr>
          <w:rFonts w:ascii="Arial" w:hAnsi="Arial" w:cs="Arial"/>
          <w:sz w:val="28"/>
          <w:szCs w:val="28"/>
        </w:rPr>
        <w:t>[1]</w:t>
      </w:r>
      <w:r w:rsidRPr="00EB2776">
        <w:rPr>
          <w:rFonts w:ascii="Arial" w:hAnsi="Arial" w:cs="Arial"/>
          <w:sz w:val="28"/>
          <w:szCs w:val="28"/>
        </w:rPr>
        <w:t xml:space="preserve"> review extends this foundation by systematically synthesizing global research on modeling patient arrivals to EDs. By aggregating empirical </w:t>
      </w:r>
      <w:r w:rsidRPr="00EB2776">
        <w:rPr>
          <w:rFonts w:ascii="Arial" w:hAnsi="Arial" w:cs="Arial"/>
          <w:sz w:val="28"/>
          <w:szCs w:val="28"/>
        </w:rPr>
        <w:lastRenderedPageBreak/>
        <w:t>studies employing time-series models, regression analyses, and other quantitative methods, it outlines which forecasting approaches have been successfully applied, under which contexts, and with what limitations. This work is particularly valuable for shaping the methodological strategy of the project  helping to decide whether to model arrivals, occupancy, or combined flow measures, and which modeling techniques merit testing.</w:t>
      </w:r>
    </w:p>
    <w:p w14:paraId="2D6B8E60" w14:textId="77777777" w:rsidR="00EB2776" w:rsidRDefault="00EB2776" w:rsidP="00EB2776">
      <w:pPr>
        <w:pStyle w:val="NormalWeb"/>
        <w:rPr>
          <w:rFonts w:ascii="Arial" w:hAnsi="Arial" w:cs="Arial"/>
          <w:sz w:val="28"/>
          <w:szCs w:val="28"/>
          <w:rtl/>
        </w:rPr>
      </w:pPr>
    </w:p>
    <w:p w14:paraId="1B72E074" w14:textId="364A5657" w:rsidR="00EB2776" w:rsidRPr="00EB2776" w:rsidRDefault="00EB2776" w:rsidP="00EB2776">
      <w:pPr>
        <w:pStyle w:val="NormalWeb"/>
        <w:rPr>
          <w:rFonts w:ascii="Arial" w:hAnsi="Arial" w:cs="Arial"/>
          <w:sz w:val="28"/>
          <w:szCs w:val="28"/>
        </w:rPr>
      </w:pPr>
      <w:r w:rsidRPr="00EB2776">
        <w:rPr>
          <w:rFonts w:ascii="Arial" w:hAnsi="Arial" w:cs="Arial"/>
          <w:sz w:val="28"/>
          <w:szCs w:val="28"/>
        </w:rPr>
        <w:t xml:space="preserve">The study </w:t>
      </w:r>
      <w:r>
        <w:rPr>
          <w:rStyle w:val="Strong"/>
          <w:rFonts w:ascii="Arial" w:eastAsiaTheme="majorEastAsia" w:hAnsi="Arial" w:cs="Arial"/>
          <w:b w:val="0"/>
          <w:bCs w:val="0"/>
          <w:sz w:val="28"/>
          <w:szCs w:val="28"/>
        </w:rPr>
        <w:t>[3]</w:t>
      </w:r>
      <w:r w:rsidRPr="00EB2776">
        <w:rPr>
          <w:rFonts w:ascii="Arial" w:hAnsi="Arial" w:cs="Arial"/>
          <w:sz w:val="28"/>
          <w:szCs w:val="28"/>
        </w:rPr>
        <w:t xml:space="preserve"> contributes a data-driven machine-learning perspective, evaluating algorithms like Random Forest, XGBoost, and neural networks for predicting overcrowding states. It identifies key predictors such as triage category, historical volume, time-of-day and seasonal patterns, supporting the feasibility of ML-based ED forecasting.</w:t>
      </w:r>
    </w:p>
    <w:p w14:paraId="0223A952" w14:textId="77777777" w:rsidR="00EB2776" w:rsidRDefault="00EB2776" w:rsidP="00EB2776">
      <w:pPr>
        <w:pStyle w:val="NormalWeb"/>
        <w:rPr>
          <w:rFonts w:ascii="Arial" w:hAnsi="Arial" w:cs="Arial"/>
          <w:sz w:val="28"/>
          <w:szCs w:val="28"/>
          <w:rtl/>
        </w:rPr>
      </w:pPr>
    </w:p>
    <w:p w14:paraId="21197A44" w14:textId="28CB19D0" w:rsidR="00EB2776" w:rsidRPr="00EB2776" w:rsidRDefault="00EB2776" w:rsidP="00EB2776">
      <w:pPr>
        <w:pStyle w:val="NormalWeb"/>
        <w:rPr>
          <w:rFonts w:ascii="Arial" w:hAnsi="Arial" w:cs="Arial"/>
          <w:sz w:val="28"/>
          <w:szCs w:val="28"/>
        </w:rPr>
      </w:pPr>
      <w:r w:rsidRPr="00EB2776">
        <w:rPr>
          <w:rFonts w:ascii="Arial" w:hAnsi="Arial" w:cs="Arial"/>
          <w:sz w:val="28"/>
          <w:szCs w:val="28"/>
        </w:rPr>
        <w:t>The clinical review</w:t>
      </w:r>
      <w:r>
        <w:rPr>
          <w:rFonts w:ascii="Arial" w:hAnsi="Arial" w:cs="Arial"/>
          <w:sz w:val="28"/>
          <w:szCs w:val="28"/>
        </w:rPr>
        <w:t xml:space="preserve"> [4]</w:t>
      </w:r>
      <w:r w:rsidRPr="00EB2776">
        <w:rPr>
          <w:rFonts w:ascii="Arial" w:hAnsi="Arial" w:cs="Arial"/>
          <w:sz w:val="28"/>
          <w:szCs w:val="28"/>
        </w:rPr>
        <w:t xml:space="preserve"> highlights the serious consequences of overcrowding, especially for cardiovascular emergencies; it shows that crowding delays critical interventions and increases mortality, underscoring the urgent need for predictive solutions.</w:t>
      </w:r>
    </w:p>
    <w:p w14:paraId="42468A90" w14:textId="77777777" w:rsidR="00EB2776" w:rsidRDefault="00EB2776" w:rsidP="00EB2776">
      <w:pPr>
        <w:pStyle w:val="NormalWeb"/>
        <w:rPr>
          <w:rFonts w:ascii="Arial" w:hAnsi="Arial" w:cs="Arial"/>
          <w:sz w:val="28"/>
          <w:szCs w:val="28"/>
          <w:rtl/>
        </w:rPr>
      </w:pPr>
    </w:p>
    <w:p w14:paraId="708A490A" w14:textId="15B6B057" w:rsidR="00B60FD9" w:rsidRDefault="00EB2776">
      <w:pPr>
        <w:rPr>
          <w:rFonts w:ascii="Arial" w:hAnsi="Arial" w:cs="Arial"/>
          <w:b/>
          <w:bCs/>
          <w:rtl/>
        </w:rPr>
      </w:pPr>
      <w:r w:rsidRPr="00EB2776">
        <w:rPr>
          <w:rFonts w:ascii="Arial" w:hAnsi="Arial" w:cs="Arial"/>
          <w:b/>
          <w:bCs/>
        </w:rPr>
        <w:t>References</w:t>
      </w:r>
    </w:p>
    <w:p w14:paraId="4686BFD3" w14:textId="39B71BB7" w:rsidR="00EB2776" w:rsidRPr="00EB2776" w:rsidRDefault="00EB2776" w:rsidP="00EB2776">
      <w:pPr>
        <w:spacing w:before="100" w:beforeAutospacing="1" w:after="100" w:afterAutospacing="1" w:line="240" w:lineRule="auto"/>
        <w:rPr>
          <w:rFonts w:ascii="Arial" w:eastAsia="Times New Roman" w:hAnsi="Arial" w:cs="Arial"/>
          <w:kern w:val="0"/>
          <w:sz w:val="28"/>
          <w:szCs w:val="28"/>
          <w14:ligatures w14:val="none"/>
        </w:rPr>
      </w:pPr>
      <w:r>
        <w:rPr>
          <w:rFonts w:ascii="Arial" w:eastAsia="Times New Roman" w:hAnsi="Arial" w:cs="Arial"/>
          <w:kern w:val="0"/>
          <w:sz w:val="28"/>
          <w:szCs w:val="28"/>
          <w:lang w:val="en-US"/>
          <w14:ligatures w14:val="none"/>
        </w:rPr>
        <w:t>1.</w:t>
      </w:r>
      <w:r w:rsidRPr="00EB2776">
        <w:rPr>
          <w:rFonts w:ascii="Arial" w:eastAsia="Times New Roman" w:hAnsi="Arial" w:cs="Arial"/>
          <w:kern w:val="0"/>
          <w:sz w:val="28"/>
          <w:szCs w:val="28"/>
          <w14:ligatures w14:val="none"/>
        </w:rPr>
        <w:t>SR-Arrivals-ED</w:t>
      </w:r>
      <w:r w:rsidRPr="00EB2776">
        <w:rPr>
          <w:rFonts w:ascii="Arial" w:eastAsia="Times New Roman" w:hAnsi="Arial" w:cs="Arial"/>
          <w:i/>
          <w:iCs/>
          <w:kern w:val="0"/>
          <w:sz w:val="28"/>
          <w:szCs w:val="28"/>
          <w14:ligatures w14:val="none"/>
        </w:rPr>
        <w:t xml:space="preserve">A </w:t>
      </w:r>
      <w:r w:rsidRPr="00EB2776">
        <w:rPr>
          <w:rFonts w:ascii="Arial" w:eastAsia="Times New Roman" w:hAnsi="Arial" w:cs="Arial"/>
          <w:kern w:val="0"/>
          <w:sz w:val="28"/>
          <w:szCs w:val="28"/>
          <w14:ligatures w14:val="none"/>
        </w:rPr>
        <w:t>systematic</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review</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of</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the</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modelling</w:t>
      </w:r>
      <w:r w:rsidRPr="00EB2776">
        <w:rPr>
          <w:rFonts w:ascii="Arial" w:eastAsia="Times New Roman" w:hAnsi="Arial" w:cs="Arial"/>
          <w:i/>
          <w:iCs/>
          <w:kern w:val="0"/>
          <w:sz w:val="28"/>
          <w:szCs w:val="28"/>
          <w14:ligatures w14:val="none"/>
        </w:rPr>
        <w:t xml:space="preserve"> of </w:t>
      </w:r>
      <w:r w:rsidRPr="00EB2776">
        <w:rPr>
          <w:rFonts w:ascii="Arial" w:eastAsia="Times New Roman" w:hAnsi="Arial" w:cs="Arial"/>
          <w:kern w:val="0"/>
          <w:sz w:val="28"/>
          <w:szCs w:val="28"/>
          <w14:ligatures w14:val="none"/>
        </w:rPr>
        <w:t>patient</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arrivals</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in</w:t>
      </w:r>
      <w:r w:rsidRPr="00EB2776">
        <w:rPr>
          <w:rFonts w:ascii="Arial" w:eastAsia="Times New Roman" w:hAnsi="Arial" w:cs="Arial"/>
          <w:i/>
          <w:iCs/>
          <w:kern w:val="0"/>
          <w:sz w:val="28"/>
          <w:szCs w:val="28"/>
          <w14:ligatures w14:val="none"/>
        </w:rPr>
        <w:t xml:space="preserve"> </w:t>
      </w:r>
      <w:r w:rsidRPr="00EB2776">
        <w:rPr>
          <w:rFonts w:ascii="Arial" w:eastAsia="Times New Roman" w:hAnsi="Arial" w:cs="Arial"/>
          <w:kern w:val="0"/>
          <w:sz w:val="28"/>
          <w:szCs w:val="28"/>
          <w14:ligatures w14:val="none"/>
        </w:rPr>
        <w:t>Emergency</w:t>
      </w:r>
      <w:r w:rsidRPr="00EB2776">
        <w:rPr>
          <w:rFonts w:ascii="Arial" w:eastAsia="Times New Roman" w:hAnsi="Arial" w:cs="Arial"/>
          <w:i/>
          <w:iCs/>
          <w:kern w:val="0"/>
          <w:sz w:val="28"/>
          <w:szCs w:val="28"/>
          <w14:ligatures w14:val="none"/>
        </w:rPr>
        <w:t xml:space="preserve"> </w:t>
      </w:r>
      <w:r w:rsidRPr="007F6F79">
        <w:rPr>
          <w:rFonts w:ascii="Arial" w:eastAsia="Times New Roman" w:hAnsi="Arial" w:cs="Arial"/>
          <w:kern w:val="0"/>
          <w:sz w:val="28"/>
          <w:szCs w:val="28"/>
          <w14:ligatures w14:val="none"/>
        </w:rPr>
        <w:t>Departments</w:t>
      </w:r>
      <w:r w:rsidRPr="00EB2776">
        <w:rPr>
          <w:rFonts w:ascii="Arial" w:eastAsia="Times New Roman" w:hAnsi="Arial" w:cs="Arial"/>
          <w:i/>
          <w:iCs/>
          <w:kern w:val="0"/>
          <w:sz w:val="28"/>
          <w:szCs w:val="28"/>
          <w14:ligatures w14:val="none"/>
        </w:rPr>
        <w:t>.</w:t>
      </w:r>
      <w:r w:rsidRPr="00EB2776">
        <w:rPr>
          <w:rFonts w:ascii="Arial" w:eastAsia="Times New Roman" w:hAnsi="Arial" w:cs="Arial"/>
          <w:kern w:val="0"/>
          <w:sz w:val="28"/>
          <w:szCs w:val="28"/>
          <w14:ligatures w14:val="none"/>
        </w:rPr>
        <w:t xml:space="preserve"> 2022.</w:t>
      </w:r>
    </w:p>
    <w:p w14:paraId="19C286BD" w14:textId="792C7D53" w:rsidR="00EB2776" w:rsidRPr="007F6F79" w:rsidRDefault="00EB2776" w:rsidP="00EB2776">
      <w:pPr>
        <w:pStyle w:val="NormalWeb"/>
        <w:rPr>
          <w:rFonts w:ascii="Arial" w:hAnsi="Arial" w:cs="Arial"/>
          <w:sz w:val="28"/>
          <w:szCs w:val="28"/>
          <w:rtl/>
        </w:rPr>
      </w:pPr>
      <w:r>
        <w:rPr>
          <w:rFonts w:ascii="Arial" w:hAnsi="Arial" w:cs="Arial"/>
          <w:sz w:val="28"/>
          <w:szCs w:val="28"/>
        </w:rPr>
        <w:t>2.</w:t>
      </w:r>
      <w:r w:rsidRPr="00EB2776">
        <w:rPr>
          <w:rFonts w:ascii="Arial" w:hAnsi="Arial" w:cs="Arial"/>
          <w:sz w:val="28"/>
          <w:szCs w:val="28"/>
        </w:rPr>
        <w:t>CCFEDO  Challenges</w:t>
      </w:r>
      <w:r w:rsidRPr="00EB2776">
        <w:rPr>
          <w:rFonts w:ascii="Arial" w:hAnsi="Arial" w:cs="Arial"/>
          <w:i/>
          <w:iCs/>
          <w:sz w:val="28"/>
          <w:szCs w:val="28"/>
        </w:rPr>
        <w:t xml:space="preserve"> </w:t>
      </w:r>
      <w:r w:rsidRPr="00EB2776">
        <w:rPr>
          <w:rFonts w:ascii="Arial" w:hAnsi="Arial" w:cs="Arial"/>
          <w:sz w:val="28"/>
          <w:szCs w:val="28"/>
        </w:rPr>
        <w:t>and</w:t>
      </w:r>
      <w:r w:rsidRPr="00EB2776">
        <w:rPr>
          <w:rFonts w:ascii="Arial" w:hAnsi="Arial" w:cs="Arial"/>
          <w:i/>
          <w:iCs/>
          <w:sz w:val="28"/>
          <w:szCs w:val="28"/>
        </w:rPr>
        <w:t xml:space="preserve"> </w:t>
      </w:r>
      <w:r w:rsidRPr="00EB2776">
        <w:rPr>
          <w:rFonts w:ascii="Arial" w:hAnsi="Arial" w:cs="Arial"/>
          <w:sz w:val="28"/>
          <w:szCs w:val="28"/>
        </w:rPr>
        <w:t>Contributing</w:t>
      </w:r>
      <w:r w:rsidRPr="00EB2776">
        <w:rPr>
          <w:rFonts w:ascii="Arial" w:hAnsi="Arial" w:cs="Arial"/>
          <w:i/>
          <w:iCs/>
          <w:sz w:val="28"/>
          <w:szCs w:val="28"/>
        </w:rPr>
        <w:t xml:space="preserve"> </w:t>
      </w:r>
      <w:r w:rsidRPr="00EB2776">
        <w:rPr>
          <w:rFonts w:ascii="Arial" w:hAnsi="Arial" w:cs="Arial"/>
          <w:sz w:val="28"/>
          <w:szCs w:val="28"/>
        </w:rPr>
        <w:t>Factors</w:t>
      </w:r>
      <w:r w:rsidRPr="00EB2776">
        <w:rPr>
          <w:rFonts w:ascii="Arial" w:hAnsi="Arial" w:cs="Arial"/>
          <w:i/>
          <w:iCs/>
          <w:sz w:val="28"/>
          <w:szCs w:val="28"/>
        </w:rPr>
        <w:t xml:space="preserve"> </w:t>
      </w:r>
      <w:r w:rsidRPr="00EB2776">
        <w:rPr>
          <w:rFonts w:ascii="Arial" w:hAnsi="Arial" w:cs="Arial"/>
          <w:sz w:val="28"/>
          <w:szCs w:val="28"/>
        </w:rPr>
        <w:t>to</w:t>
      </w:r>
      <w:r w:rsidRPr="00EB2776">
        <w:rPr>
          <w:rFonts w:ascii="Arial" w:hAnsi="Arial" w:cs="Arial"/>
          <w:i/>
          <w:iCs/>
          <w:sz w:val="28"/>
          <w:szCs w:val="28"/>
        </w:rPr>
        <w:t xml:space="preserve"> </w:t>
      </w:r>
      <w:r w:rsidRPr="00EB2776">
        <w:rPr>
          <w:rFonts w:ascii="Arial" w:hAnsi="Arial" w:cs="Arial"/>
          <w:sz w:val="28"/>
          <w:szCs w:val="28"/>
        </w:rPr>
        <w:t>EmergencyDepartment</w:t>
      </w:r>
      <w:r w:rsidRPr="00EB2776">
        <w:rPr>
          <w:rFonts w:ascii="Arial" w:hAnsi="Arial" w:cs="Arial"/>
          <w:i/>
          <w:iCs/>
          <w:sz w:val="28"/>
          <w:szCs w:val="28"/>
        </w:rPr>
        <w:t xml:space="preserve"> </w:t>
      </w:r>
      <w:r w:rsidRPr="007F6F79">
        <w:rPr>
          <w:rFonts w:ascii="Arial" w:hAnsi="Arial" w:cs="Arial"/>
          <w:sz w:val="28"/>
          <w:szCs w:val="28"/>
        </w:rPr>
        <w:t>Overcrowding.</w:t>
      </w:r>
    </w:p>
    <w:p w14:paraId="50CDB515" w14:textId="2ADE2DEA" w:rsidR="007F6F79" w:rsidRPr="007F6F79" w:rsidRDefault="00EB2776" w:rsidP="007F6F79">
      <w:pPr>
        <w:pStyle w:val="NormalWeb"/>
        <w:rPr>
          <w:i/>
          <w:iCs/>
        </w:rPr>
      </w:pPr>
      <w:r>
        <w:rPr>
          <w:rFonts w:ascii="Arial" w:hAnsi="Arial" w:cs="Arial"/>
          <w:sz w:val="28"/>
          <w:szCs w:val="28"/>
        </w:rPr>
        <w:t>3.</w:t>
      </w:r>
      <w:r w:rsidR="007F6F79" w:rsidRPr="007F6F79">
        <w:rPr>
          <w:rStyle w:val="Heading2Char"/>
        </w:rPr>
        <w:t xml:space="preserve"> </w:t>
      </w:r>
      <w:r w:rsidR="007F6F79" w:rsidRPr="007F6F79">
        <w:rPr>
          <w:rStyle w:val="Strong"/>
          <w:rFonts w:asciiTheme="minorBidi" w:eastAsiaTheme="majorEastAsia" w:hAnsiTheme="minorBidi" w:cstheme="minorBidi"/>
          <w:b w:val="0"/>
          <w:bCs w:val="0"/>
          <w:sz w:val="28"/>
          <w:szCs w:val="28"/>
        </w:rPr>
        <w:t>Predictive Models for Emergency Department Overcrowding Using Machine Learning Techniques</w:t>
      </w:r>
      <w:r w:rsidR="007F6F79" w:rsidRPr="007F6F79">
        <w:rPr>
          <w:rFonts w:asciiTheme="minorBidi" w:hAnsiTheme="minorBidi" w:cstheme="minorBidi"/>
          <w:b/>
          <w:bCs/>
          <w:sz w:val="28"/>
          <w:szCs w:val="28"/>
        </w:rPr>
        <w:br/>
      </w:r>
      <w:r w:rsidR="007F6F79" w:rsidRPr="007F6F79">
        <w:rPr>
          <w:rStyle w:val="Emphasis"/>
          <w:rFonts w:asciiTheme="minorBidi" w:eastAsiaTheme="majorEastAsia" w:hAnsiTheme="minorBidi" w:cstheme="minorBidi"/>
          <w:i w:val="0"/>
          <w:iCs w:val="0"/>
          <w:sz w:val="28"/>
          <w:szCs w:val="28"/>
        </w:rPr>
        <w:t>Iberoamerican Journal of Medicine, 2025.</w:t>
      </w:r>
    </w:p>
    <w:p w14:paraId="5BCF10E6" w14:textId="7EA8C017" w:rsidR="00EB2776" w:rsidRPr="00EB2776" w:rsidRDefault="00EB2776" w:rsidP="007F6F79">
      <w:pPr>
        <w:pStyle w:val="NormalWeb"/>
        <w:rPr>
          <w:rFonts w:ascii="Arial" w:hAnsi="Arial" w:cs="Arial"/>
          <w:sz w:val="28"/>
          <w:szCs w:val="28"/>
        </w:rPr>
      </w:pPr>
    </w:p>
    <w:p w14:paraId="711B453A" w14:textId="59E317BC" w:rsidR="00EB2776" w:rsidRPr="00EB2776" w:rsidRDefault="00EB2776" w:rsidP="00EB2776">
      <w:pPr>
        <w:pStyle w:val="NormalWeb"/>
        <w:rPr>
          <w:rFonts w:ascii="Arial" w:hAnsi="Arial" w:cs="Arial"/>
          <w:sz w:val="28"/>
          <w:szCs w:val="28"/>
        </w:rPr>
      </w:pPr>
      <w:r>
        <w:rPr>
          <w:sz w:val="28"/>
          <w:szCs w:val="28"/>
        </w:rPr>
        <w:t>4.</w:t>
      </w:r>
      <w:r w:rsidRPr="00EB2776">
        <w:rPr>
          <w:sz w:val="28"/>
          <w:szCs w:val="28"/>
        </w:rPr>
        <w:t xml:space="preserve"> </w:t>
      </w:r>
      <w:r w:rsidRPr="00EB2776">
        <w:rPr>
          <w:rFonts w:ascii="Arial" w:hAnsi="Arial" w:cs="Arial"/>
          <w:sz w:val="28"/>
          <w:szCs w:val="28"/>
        </w:rPr>
        <w:t>SM-EDC</w:t>
      </w:r>
      <w:r w:rsidR="007F6F79">
        <w:rPr>
          <w:rFonts w:ascii="Arial" w:hAnsi="Arial" w:cs="Arial"/>
          <w:sz w:val="28"/>
          <w:szCs w:val="28"/>
        </w:rPr>
        <w:t xml:space="preserve"> </w:t>
      </w:r>
      <w:r w:rsidRPr="00EB2776">
        <w:rPr>
          <w:rStyle w:val="Emphasis"/>
          <w:rFonts w:ascii="Arial" w:eastAsiaTheme="majorEastAsia" w:hAnsi="Arial" w:cs="Arial"/>
          <w:i w:val="0"/>
          <w:iCs w:val="0"/>
          <w:sz w:val="28"/>
          <w:szCs w:val="28"/>
        </w:rPr>
        <w:t>Strategies</w:t>
      </w:r>
      <w:r w:rsidRPr="00EB2776">
        <w:rPr>
          <w:rStyle w:val="Emphasis"/>
          <w:rFonts w:ascii="Arial" w:eastAsiaTheme="majorEastAsia" w:hAnsi="Arial" w:cs="Arial"/>
          <w:sz w:val="28"/>
          <w:szCs w:val="28"/>
        </w:rPr>
        <w:t xml:space="preserve"> to </w:t>
      </w:r>
      <w:r w:rsidRPr="00EB2776">
        <w:rPr>
          <w:rStyle w:val="Emphasis"/>
          <w:rFonts w:ascii="Arial" w:eastAsiaTheme="majorEastAsia" w:hAnsi="Arial" w:cs="Arial"/>
          <w:i w:val="0"/>
          <w:iCs w:val="0"/>
          <w:sz w:val="28"/>
          <w:szCs w:val="28"/>
        </w:rPr>
        <w:t>Mitigate</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Emergency</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Department</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Crowding</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and</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Its</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Impact</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on</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Cardiovascular</w:t>
      </w:r>
      <w:r w:rsidRPr="00EB2776">
        <w:rPr>
          <w:rStyle w:val="Emphasis"/>
          <w:rFonts w:ascii="Arial" w:eastAsiaTheme="majorEastAsia" w:hAnsi="Arial" w:cs="Arial"/>
          <w:sz w:val="28"/>
          <w:szCs w:val="28"/>
        </w:rPr>
        <w:t xml:space="preserve"> </w:t>
      </w:r>
      <w:r w:rsidRPr="00EB2776">
        <w:rPr>
          <w:rStyle w:val="Emphasis"/>
          <w:rFonts w:ascii="Arial" w:eastAsiaTheme="majorEastAsia" w:hAnsi="Arial" w:cs="Arial"/>
          <w:i w:val="0"/>
          <w:iCs w:val="0"/>
          <w:sz w:val="28"/>
          <w:szCs w:val="28"/>
        </w:rPr>
        <w:t>Patients</w:t>
      </w:r>
      <w:r w:rsidRPr="00EB2776">
        <w:rPr>
          <w:rStyle w:val="Emphasis"/>
          <w:rFonts w:ascii="Arial" w:eastAsiaTheme="majorEastAsia" w:hAnsi="Arial" w:cs="Arial"/>
          <w:sz w:val="28"/>
          <w:szCs w:val="28"/>
        </w:rPr>
        <w:t>.</w:t>
      </w:r>
      <w:r w:rsidRPr="00EB2776">
        <w:rPr>
          <w:rFonts w:ascii="Arial" w:hAnsi="Arial" w:cs="Arial"/>
          <w:sz w:val="28"/>
          <w:szCs w:val="28"/>
        </w:rPr>
        <w:t xml:space="preserve"> European Heart Journal Acute Cardiovascular Care, 2023.</w:t>
      </w:r>
    </w:p>
    <w:p w14:paraId="5BADDB13" w14:textId="6ACD649B" w:rsidR="00EB2776" w:rsidRPr="00EB2776" w:rsidRDefault="00EB2776" w:rsidP="00EB2776">
      <w:pPr>
        <w:pStyle w:val="NormalWeb"/>
        <w:rPr>
          <w:rFonts w:ascii="Arial" w:hAnsi="Arial" w:cs="Arial"/>
          <w:sz w:val="28"/>
          <w:szCs w:val="28"/>
          <w:rtl/>
          <w:lang w:val="en-US"/>
        </w:rPr>
      </w:pPr>
      <w:r>
        <w:lastRenderedPageBreak/>
        <w:t xml:space="preserve"> </w:t>
      </w:r>
    </w:p>
    <w:p w14:paraId="75D5FDD3" w14:textId="37EF50EF" w:rsidR="00EB2776" w:rsidRPr="00EB2776" w:rsidRDefault="00EB2776" w:rsidP="00EB2776">
      <w:pPr>
        <w:pStyle w:val="NormalWeb"/>
        <w:rPr>
          <w:rFonts w:ascii="Arial" w:hAnsi="Arial" w:cs="Arial"/>
          <w:sz w:val="28"/>
          <w:szCs w:val="28"/>
          <w:rtl/>
          <w:lang w:val="en-US"/>
        </w:rPr>
      </w:pPr>
      <w:r>
        <w:rPr>
          <w:noProof/>
        </w:rPr>
        <mc:AlternateContent>
          <mc:Choice Requires="wps">
            <w:drawing>
              <wp:anchor distT="0" distB="0" distL="114300" distR="114300" simplePos="0" relativeHeight="251661312" behindDoc="0" locked="0" layoutInCell="1" allowOverlap="1" wp14:anchorId="7300A2C2" wp14:editId="1113ED7E">
                <wp:simplePos x="0" y="0"/>
                <wp:positionH relativeFrom="column">
                  <wp:posOffset>581114</wp:posOffset>
                </wp:positionH>
                <wp:positionV relativeFrom="paragraph">
                  <wp:posOffset>-589660</wp:posOffset>
                </wp:positionV>
                <wp:extent cx="1828800" cy="1828800"/>
                <wp:effectExtent l="0" t="0" r="0" b="0"/>
                <wp:wrapNone/>
                <wp:docPr id="133593509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23DF57" w14:textId="0C61A76B" w:rsidR="00EB2776" w:rsidRPr="00EB2776" w:rsidRDefault="00EB2776" w:rsidP="00EB2776">
                            <w:pPr>
                              <w:pStyle w:val="NormalWeb"/>
                              <w:jc w:val="center"/>
                              <w:rPr>
                                <w:rFonts w:ascii="Arial" w:hAnsi="Arial" w:cs="Arial"/>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Competitors review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00A2C2" id="_x0000_s1027" type="#_x0000_t202" style="position:absolute;margin-left:45.75pt;margin-top:-46.4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Ch&#13;&#10;Ur8o4QAAAA8BAAAPAAAAZHJzL2Rvd25yZXYueG1sTI/BTsMwDIbvSLxDZCRuW9pCYemaTmiDMzB4&#13;&#10;gKw1TWnjVE22FZ4ec4KLJduff/9/uZndIE44hc6ThnSZgECqfdNRq+H97WmxAhGiocYMnlDDFwbY&#13;&#10;VJcXpSkaf6ZXPO1jK1iEQmE02BjHQspQW3QmLP2IxLsPPzkTuZ1a2UzmzOJukFmS3ElnOuIP1oy4&#13;&#10;tVj3+6PTsErcc9+r7CW42+80t9udfxw/tb6+mndrLg9rEBHn+HcBvxnYP1Rs7OCP1AQxaFBpzqSG&#13;&#10;hcoUCAZu7hVPDkyqPAVZlfJ/juoHAAD//wMAUEsBAi0AFAAGAAgAAAAhALaDOJL+AAAA4QEAABMA&#13;&#10;AAAAAAAAAAAAAAAAAAAAAFtDb250ZW50X1R5cGVzXS54bWxQSwECLQAUAAYACAAAACEAOP0h/9YA&#13;&#10;AACUAQAACwAAAAAAAAAAAAAAAAAvAQAAX3JlbHMvLnJlbHNQSwECLQAUAAYACAAAACEAro3U9wsC&#13;&#10;AAApBAAADgAAAAAAAAAAAAAAAAAuAgAAZHJzL2Uyb0RvYy54bWxQSwECLQAUAAYACAAAACEAoVK/&#13;&#10;KOEAAAAPAQAADwAAAAAAAAAAAAAAAABlBAAAZHJzL2Rvd25yZXYueG1sUEsFBgAAAAAEAAQA8wAA&#13;&#10;AHMFAAAAAA==&#13;&#10;" filled="f" stroked="f">
                <v:fill o:detectmouseclick="t"/>
                <v:textbox style="mso-fit-shape-to-text:t">
                  <w:txbxContent>
                    <w:p w14:paraId="7E23DF57" w14:textId="0C61A76B" w:rsidR="00EB2776" w:rsidRPr="00EB2776" w:rsidRDefault="00EB2776" w:rsidP="00EB2776">
                      <w:pPr>
                        <w:pStyle w:val="NormalWeb"/>
                        <w:jc w:val="center"/>
                        <w:rPr>
                          <w:rFonts w:ascii="Arial" w:hAnsi="Arial" w:cs="Arial"/>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sz w:val="72"/>
                          <w:szCs w:val="7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Competitors review</w:t>
                      </w:r>
                    </w:p>
                  </w:txbxContent>
                </v:textbox>
              </v:shape>
            </w:pict>
          </mc:Fallback>
        </mc:AlternateContent>
      </w:r>
    </w:p>
    <w:p w14:paraId="74D269C7" w14:textId="4D37589D" w:rsidR="00EB2776" w:rsidRPr="00EB2776" w:rsidRDefault="00EB2776" w:rsidP="00EB2776">
      <w:pPr>
        <w:pStyle w:val="NormalWeb"/>
        <w:rPr>
          <w:rFonts w:ascii="Arial" w:hAnsi="Arial" w:cs="Arial"/>
          <w:sz w:val="28"/>
          <w:szCs w:val="28"/>
        </w:rPr>
      </w:pPr>
      <w:r>
        <w:t xml:space="preserve">1. </w:t>
      </w:r>
      <w:r w:rsidRPr="00EB2776">
        <w:rPr>
          <w:rFonts w:ascii="Arial" w:hAnsi="Arial" w:cs="Arial"/>
        </w:rPr>
        <w:t xml:space="preserve">The academic competitor </w:t>
      </w:r>
      <w:r w:rsidRPr="00EB2776">
        <w:rPr>
          <w:rStyle w:val="Strong"/>
          <w:rFonts w:ascii="Arial" w:eastAsiaTheme="majorEastAsia" w:hAnsi="Arial" w:cs="Arial"/>
        </w:rPr>
        <w:t>“Predictive Models for Emergency Department Overcrowding Using ML”</w:t>
      </w:r>
      <w:r w:rsidRPr="00EB2776">
        <w:rPr>
          <w:rFonts w:ascii="Arial" w:hAnsi="Arial" w:cs="Arial"/>
        </w:rPr>
        <w:t xml:space="preserve"> represents a research-oriented machine-learning framework designed to forecast ED congestion using historical operational and clinical data. Its primary goal is methodological evaluation rather than real-world deployment, yet it demonstrates strong predictive potential through models such as XGBoost, Random Forest, and logistic regression. The model offers medium-to-high customization and full algorithmic transparency, but it lacks integration with clinical systems and requires substantial adaptation to be used in operational environments. Its cost is effectively zero, as it is an academic resource, and its clinical value remains moderate because it has not been validated in a live hospital setting. With high adjustability but limited practical applicability, it serves as an important methodological benchmark rather than a deployable solution. </w:t>
      </w:r>
    </w:p>
    <w:p w14:paraId="7DEA70D5" w14:textId="77777777" w:rsidR="00EB2776" w:rsidRDefault="00EB2776" w:rsidP="00EB2776">
      <w:pPr>
        <w:pStyle w:val="NormalWeb"/>
        <w:rPr>
          <w:rtl/>
        </w:rPr>
      </w:pPr>
      <w:r w:rsidRPr="00EB2776">
        <w:t xml:space="preserve"> </w:t>
      </w:r>
    </w:p>
    <w:p w14:paraId="25216B6F" w14:textId="77777777" w:rsidR="00EB2776" w:rsidRDefault="00EB2776" w:rsidP="00EB2776">
      <w:pPr>
        <w:pStyle w:val="NormalWeb"/>
        <w:rPr>
          <w:rtl/>
        </w:rPr>
      </w:pPr>
    </w:p>
    <w:p w14:paraId="6CAA689E" w14:textId="25F78E78" w:rsidR="00EB2776" w:rsidRDefault="00EB2776" w:rsidP="00EB2776">
      <w:pPr>
        <w:pStyle w:val="NormalWeb"/>
      </w:pPr>
      <w:r>
        <w:t>2.</w:t>
      </w:r>
      <w:r w:rsidRPr="00EB2776">
        <w:rPr>
          <w:rStyle w:val="Heading2Char"/>
        </w:rPr>
        <w:t xml:space="preserve"> </w:t>
      </w:r>
      <w:r w:rsidRPr="00EB2776">
        <w:rPr>
          <w:rStyle w:val="Strong"/>
          <w:rFonts w:ascii="Arial" w:eastAsiaTheme="majorEastAsia" w:hAnsi="Arial" w:cs="Arial"/>
        </w:rPr>
        <w:t>Epic Capacity Management</w:t>
      </w:r>
      <w:r w:rsidRPr="00EB2776">
        <w:rPr>
          <w:rFonts w:ascii="Arial" w:hAnsi="Arial" w:cs="Arial"/>
        </w:rPr>
        <w:t xml:space="preserve"> is a commercial, enterprise-level operational platform designed to forecast ED demand and optimize hospital capacity, including bed allocation, staffing, and patient flow in real time. Its primary goal is to support large hospitals with integrated decision-making tools embedded directly within the Epic electronic medical record (EMR) ecosystem. While it offers sophisticated predictive capabilities and high clinical value in systems where it is fully deployed, customization is extremely limited due to its proprietary “black-box” algorithms and rigid architecture. The system carries a very high cost</w:t>
      </w:r>
      <w:r>
        <w:rPr>
          <w:rFonts w:ascii="Arial" w:hAnsi="Arial" w:cs="Arial" w:hint="cs"/>
          <w:rtl/>
        </w:rPr>
        <w:t xml:space="preserve"> </w:t>
      </w:r>
      <w:r w:rsidRPr="00EB2776">
        <w:rPr>
          <w:rFonts w:ascii="Arial" w:hAnsi="Arial" w:cs="Arial"/>
        </w:rPr>
        <w:t>both for licensing and for implementation</w:t>
      </w:r>
      <w:r>
        <w:rPr>
          <w:rFonts w:ascii="Arial" w:hAnsi="Arial" w:cs="Arial" w:hint="cs"/>
          <w:rtl/>
        </w:rPr>
        <w:t xml:space="preserve"> </w:t>
      </w:r>
      <w:r w:rsidRPr="00EB2776">
        <w:rPr>
          <w:rFonts w:ascii="Arial" w:hAnsi="Arial" w:cs="Arial"/>
        </w:rPr>
        <w:t>and its integration complexity is substantial, as it requires a complete Epic infrastructure that is not used in Israeli hospitals. As a result, although Epic provides strong operational impact in suitable environments, its lack of flexibility, high expense, and incompatibility with local systems make it impractical for Meir Medical Center</w:t>
      </w:r>
      <w:r>
        <w:t>.</w:t>
      </w:r>
    </w:p>
    <w:p w14:paraId="2477FFEB" w14:textId="607C6A0F" w:rsidR="00EB2776" w:rsidRPr="00EB2776" w:rsidRDefault="00EB2776" w:rsidP="00EB2776">
      <w:pPr>
        <w:rPr>
          <w:rFonts w:ascii="Arial" w:hAnsi="Arial" w:cs="Arial"/>
          <w:b/>
          <w:bCs/>
          <w:rtl/>
        </w:rPr>
      </w:pPr>
    </w:p>
    <w:p w14:paraId="7F4813FE" w14:textId="77777777" w:rsidR="00B60FD9" w:rsidRDefault="00B60FD9">
      <w:pPr>
        <w:rPr>
          <w:lang w:val="en-US"/>
        </w:rPr>
      </w:pPr>
    </w:p>
    <w:p w14:paraId="621A46F7" w14:textId="77777777" w:rsidR="00B60FD9" w:rsidRDefault="00B60FD9">
      <w:pPr>
        <w:rPr>
          <w:lang w:val="en-US"/>
        </w:rPr>
      </w:pPr>
    </w:p>
    <w:p w14:paraId="0EA6D4CD" w14:textId="77777777" w:rsidR="00B60FD9" w:rsidRDefault="00B60FD9">
      <w:pPr>
        <w:rPr>
          <w:lang w:val="en-US"/>
        </w:rPr>
      </w:pPr>
    </w:p>
    <w:p w14:paraId="459B54F4" w14:textId="77777777" w:rsidR="00B60FD9" w:rsidRDefault="00B60FD9">
      <w:pPr>
        <w:rPr>
          <w:lang w:val="en-US"/>
        </w:rPr>
      </w:pPr>
    </w:p>
    <w:p w14:paraId="540F3C1A" w14:textId="77777777" w:rsidR="00B60FD9" w:rsidRDefault="00B60FD9">
      <w:pPr>
        <w:rPr>
          <w:lang w:val="en-US"/>
        </w:rPr>
      </w:pPr>
    </w:p>
    <w:p w14:paraId="70D77508" w14:textId="77777777" w:rsidR="00B60FD9" w:rsidRDefault="00B60FD9">
      <w:pPr>
        <w:rPr>
          <w:lang w:val="en-US"/>
        </w:rPr>
      </w:pPr>
    </w:p>
    <w:p w14:paraId="7FB66F28" w14:textId="77777777" w:rsidR="00B60FD9" w:rsidRDefault="00B60FD9">
      <w:pPr>
        <w:rPr>
          <w:lang w:val="en-US"/>
        </w:rPr>
      </w:pPr>
    </w:p>
    <w:p w14:paraId="0B047EB0" w14:textId="076C2355" w:rsidR="00B60FD9" w:rsidRDefault="00EB2776">
      <w:pPr>
        <w:rPr>
          <w:b/>
          <w:bCs/>
          <w:lang w:val="en-US"/>
        </w:rPr>
      </w:pPr>
      <w:r w:rsidRPr="00EB2776">
        <w:rPr>
          <w:rFonts w:hint="cs"/>
          <w:b/>
          <w:bCs/>
          <w:rtl/>
          <w:lang w:val="en-US"/>
        </w:rPr>
        <w:t>c</w:t>
      </w:r>
      <w:r w:rsidRPr="00EB2776">
        <w:rPr>
          <w:b/>
          <w:bCs/>
          <w:lang w:val="en-US"/>
        </w:rPr>
        <w:t>omparison table</w:t>
      </w:r>
      <w:r>
        <w:rPr>
          <w:b/>
          <w:bCs/>
          <w:lang w:val="en-US"/>
        </w:rPr>
        <w:t>:</w:t>
      </w:r>
    </w:p>
    <w:p w14:paraId="7F29F193" w14:textId="46AEDC78" w:rsidR="00EB2776" w:rsidRDefault="00EB2776">
      <w:pPr>
        <w:rPr>
          <w:b/>
          <w:bCs/>
          <w:lang w:val="en-US"/>
        </w:rPr>
      </w:pPr>
      <w:r>
        <w:rPr>
          <w:b/>
          <w:bCs/>
          <w:lang w:val="en-US"/>
        </w:rPr>
        <w:tab/>
      </w:r>
      <w:r>
        <w:rPr>
          <w:b/>
          <w:bCs/>
          <w:lang w:val="en-US"/>
        </w:rPr>
        <w:tab/>
      </w:r>
    </w:p>
    <w:p w14:paraId="0EFA3F0E" w14:textId="77777777" w:rsidR="00EB2776" w:rsidRPr="00EB2776" w:rsidRDefault="00EB2776" w:rsidP="00EB2776">
      <w:pPr>
        <w:rPr>
          <w:b/>
          <w:bCs/>
          <w:lang w:val="en-US"/>
        </w:rPr>
      </w:pPr>
      <w:r>
        <w:rPr>
          <w:b/>
          <w:bCs/>
          <w:lang w:val="en-US"/>
        </w:rPr>
        <w:tab/>
      </w:r>
      <w:r>
        <w:rPr>
          <w:b/>
          <w:bCs/>
          <w:lang w:val="en-US"/>
        </w:rPr>
        <w:tab/>
      </w:r>
      <w:r>
        <w:rPr>
          <w:b/>
          <w:bCs/>
          <w:lang w:val="en-US"/>
        </w:rPr>
        <w:tab/>
      </w:r>
    </w:p>
    <w:tbl>
      <w:tblPr>
        <w:tblStyle w:val="TableGrid"/>
        <w:tblW w:w="10201" w:type="dxa"/>
        <w:tblLook w:val="04A0" w:firstRow="1" w:lastRow="0" w:firstColumn="1" w:lastColumn="0" w:noHBand="0" w:noVBand="1"/>
      </w:tblPr>
      <w:tblGrid>
        <w:gridCol w:w="2337"/>
        <w:gridCol w:w="2761"/>
        <w:gridCol w:w="2410"/>
        <w:gridCol w:w="2693"/>
      </w:tblGrid>
      <w:tr w:rsidR="00EB2776" w14:paraId="0A4955AB" w14:textId="77777777" w:rsidTr="00EB2776">
        <w:tc>
          <w:tcPr>
            <w:tcW w:w="2337" w:type="dxa"/>
          </w:tcPr>
          <w:p w14:paraId="2E58C3CF" w14:textId="77777777" w:rsidR="00EB2776" w:rsidRPr="00EB2776" w:rsidRDefault="00EB2776" w:rsidP="00EB2776">
            <w:pPr>
              <w:rPr>
                <w:rFonts w:ascii="Arial" w:hAnsi="Arial" w:cs="Arial"/>
                <w:lang w:val="en-US"/>
              </w:rPr>
            </w:pPr>
          </w:p>
        </w:tc>
        <w:tc>
          <w:tcPr>
            <w:tcW w:w="2761" w:type="dxa"/>
          </w:tcPr>
          <w:p w14:paraId="1E5C9CDD" w14:textId="5482E5E8" w:rsidR="00EB2776" w:rsidRDefault="00EB2776" w:rsidP="00EB2776">
            <w:pPr>
              <w:rPr>
                <w:b/>
                <w:bCs/>
                <w:lang w:val="en-US"/>
              </w:rPr>
            </w:pPr>
            <w:r>
              <w:rPr>
                <w:b/>
                <w:bCs/>
                <w:lang w:val="en-US"/>
              </w:rPr>
              <w:t>Predictive models for ED overcrowding using ML</w:t>
            </w:r>
          </w:p>
        </w:tc>
        <w:tc>
          <w:tcPr>
            <w:tcW w:w="2410" w:type="dxa"/>
          </w:tcPr>
          <w:p w14:paraId="61FA9AC2" w14:textId="0FE78FAB" w:rsidR="00EB2776" w:rsidRDefault="00EB2776" w:rsidP="00EB2776">
            <w:pPr>
              <w:rPr>
                <w:b/>
                <w:bCs/>
                <w:lang w:val="en-US"/>
              </w:rPr>
            </w:pPr>
            <w:r>
              <w:rPr>
                <w:b/>
                <w:bCs/>
                <w:lang w:val="en-US"/>
              </w:rPr>
              <w:t>Epic-capacity management</w:t>
            </w:r>
          </w:p>
        </w:tc>
        <w:tc>
          <w:tcPr>
            <w:tcW w:w="2693" w:type="dxa"/>
          </w:tcPr>
          <w:p w14:paraId="660FE176" w14:textId="453FF816" w:rsidR="00EB2776" w:rsidRDefault="00EB2776" w:rsidP="00EB2776">
            <w:pPr>
              <w:rPr>
                <w:b/>
                <w:bCs/>
                <w:lang w:val="en-US"/>
              </w:rPr>
            </w:pPr>
            <w:r>
              <w:rPr>
                <w:b/>
                <w:bCs/>
                <w:lang w:val="en-US"/>
              </w:rPr>
              <w:t>Our model</w:t>
            </w:r>
          </w:p>
        </w:tc>
      </w:tr>
      <w:tr w:rsidR="00EB2776" w14:paraId="457E14A5" w14:textId="77777777" w:rsidTr="00EB2776">
        <w:trPr>
          <w:trHeight w:val="590"/>
        </w:trPr>
        <w:tc>
          <w:tcPr>
            <w:tcW w:w="2337" w:type="dxa"/>
          </w:tcPr>
          <w:p w14:paraId="3A6846E1" w14:textId="2F381253" w:rsidR="00EB2776" w:rsidRDefault="00EB2776" w:rsidP="00EB2776">
            <w:pPr>
              <w:rPr>
                <w:b/>
                <w:bCs/>
                <w:lang w:val="en-US"/>
              </w:rPr>
            </w:pPr>
            <w:r>
              <w:rPr>
                <w:b/>
                <w:bCs/>
                <w:lang w:val="en-US"/>
              </w:rPr>
              <w:t>Primary goal</w:t>
            </w:r>
          </w:p>
        </w:tc>
        <w:tc>
          <w:tcPr>
            <w:tcW w:w="2761" w:type="dxa"/>
          </w:tcPr>
          <w:p w14:paraId="4D7403B3" w14:textId="3E4D2DF3" w:rsidR="00EB2776" w:rsidRPr="00EB2776" w:rsidRDefault="00EB2776" w:rsidP="00EB2776">
            <w:pPr>
              <w:rPr>
                <w:rFonts w:ascii="Arial" w:hAnsi="Arial" w:cs="Arial"/>
                <w:b/>
                <w:bCs/>
                <w:lang w:val="en-US"/>
              </w:rPr>
            </w:pPr>
            <w:r w:rsidRPr="00EB2776">
              <w:rPr>
                <w:rFonts w:ascii="Arial" w:hAnsi="Arial" w:cs="Arial"/>
              </w:rPr>
              <w:t>Predict ED overcrowding using machine learning in academic settings</w:t>
            </w:r>
          </w:p>
        </w:tc>
        <w:tc>
          <w:tcPr>
            <w:tcW w:w="2410" w:type="dxa"/>
          </w:tcPr>
          <w:p w14:paraId="76BEBB52" w14:textId="12ECA00D" w:rsidR="00EB2776" w:rsidRPr="00EB2776" w:rsidRDefault="00EB2776" w:rsidP="00EB2776">
            <w:pPr>
              <w:rPr>
                <w:rFonts w:ascii="Arial" w:hAnsi="Arial" w:cs="Arial"/>
                <w:b/>
                <w:bCs/>
                <w:lang w:val="en-US"/>
              </w:rPr>
            </w:pPr>
            <w:r w:rsidRPr="00EB2776">
              <w:rPr>
                <w:rFonts w:ascii="Arial" w:hAnsi="Arial" w:cs="Arial"/>
              </w:rPr>
              <w:t>Forecast capacity, manage beds and staffing in real-time</w:t>
            </w:r>
          </w:p>
        </w:tc>
        <w:tc>
          <w:tcPr>
            <w:tcW w:w="2693" w:type="dxa"/>
          </w:tcPr>
          <w:p w14:paraId="0E253C11" w14:textId="025A6D7D" w:rsidR="00EB2776" w:rsidRDefault="00EB2776" w:rsidP="00EB2776">
            <w:pPr>
              <w:rPr>
                <w:b/>
                <w:bCs/>
                <w:lang w:val="en-US"/>
              </w:rPr>
            </w:pPr>
            <w:r>
              <w:t>Predict ED overcrowding tailored specifically to Meir Hospital needs</w:t>
            </w:r>
          </w:p>
        </w:tc>
      </w:tr>
      <w:tr w:rsidR="00EB2776" w14:paraId="060CBF63" w14:textId="77777777" w:rsidTr="00EB2776">
        <w:trPr>
          <w:trHeight w:val="684"/>
        </w:trPr>
        <w:tc>
          <w:tcPr>
            <w:tcW w:w="2337" w:type="dxa"/>
          </w:tcPr>
          <w:p w14:paraId="10EAC7D3" w14:textId="493F59D8" w:rsidR="00EB2776" w:rsidRPr="00EB2776" w:rsidRDefault="00EB2776" w:rsidP="00EB2776">
            <w:pPr>
              <w:rPr>
                <w:rFonts w:ascii="Arial" w:hAnsi="Arial" w:cs="Arial"/>
                <w:b/>
                <w:bCs/>
                <w:lang w:val="en-US"/>
              </w:rPr>
            </w:pPr>
            <w:r w:rsidRPr="00EB2776">
              <w:rPr>
                <w:rFonts w:ascii="Arial" w:hAnsi="Arial" w:cs="Arial"/>
                <w:b/>
                <w:bCs/>
              </w:rPr>
              <w:t>Customization</w:t>
            </w:r>
          </w:p>
        </w:tc>
        <w:tc>
          <w:tcPr>
            <w:tcW w:w="2761" w:type="dxa"/>
          </w:tcPr>
          <w:p w14:paraId="1A00A0E1" w14:textId="105E1B35" w:rsidR="00EB2776" w:rsidRPr="00EB2776" w:rsidRDefault="00EB2776" w:rsidP="00EB2776">
            <w:pPr>
              <w:rPr>
                <w:rFonts w:ascii="Arial" w:hAnsi="Arial" w:cs="Arial"/>
                <w:b/>
                <w:bCs/>
                <w:lang w:val="en-US"/>
              </w:rPr>
            </w:pPr>
            <w:r w:rsidRPr="00EB2776">
              <w:rPr>
                <w:rFonts w:ascii="Arial" w:hAnsi="Arial" w:cs="Arial"/>
              </w:rPr>
              <w:t>Medium – model code can be modified in research</w:t>
            </w:r>
          </w:p>
        </w:tc>
        <w:tc>
          <w:tcPr>
            <w:tcW w:w="2410" w:type="dxa"/>
          </w:tcPr>
          <w:p w14:paraId="25288632" w14:textId="5B3DF320" w:rsidR="00EB2776" w:rsidRPr="00EB2776" w:rsidRDefault="00EB2776" w:rsidP="00EB2776">
            <w:pPr>
              <w:rPr>
                <w:rFonts w:ascii="Arial" w:hAnsi="Arial" w:cs="Arial"/>
                <w:b/>
                <w:bCs/>
                <w:lang w:val="en-US"/>
              </w:rPr>
            </w:pPr>
            <w:r w:rsidRPr="00EB2776">
              <w:rPr>
                <w:rFonts w:ascii="Arial" w:hAnsi="Arial" w:cs="Arial"/>
              </w:rPr>
              <w:t>Very low – proprietary system, minimal flexibility</w:t>
            </w: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EB2776" w14:paraId="38E21883" w14:textId="77777777" w:rsidTr="00EB2776">
              <w:trPr>
                <w:tblCellSpacing w:w="15" w:type="dxa"/>
              </w:trPr>
              <w:tc>
                <w:tcPr>
                  <w:tcW w:w="0" w:type="auto"/>
                  <w:vAlign w:val="center"/>
                  <w:hideMark/>
                </w:tcPr>
                <w:p w14:paraId="42830EF8" w14:textId="77777777" w:rsidR="00EB2776" w:rsidRPr="00EB2776" w:rsidRDefault="00EB2776" w:rsidP="00EB2776">
                  <w:pPr>
                    <w:rPr>
                      <w:rFonts w:ascii="Arial" w:hAnsi="Arial" w:cs="Arial"/>
                      <w:b/>
                      <w:bCs/>
                    </w:rPr>
                  </w:pPr>
                  <w:r w:rsidRPr="00EB2776">
                    <w:rPr>
                      <w:rStyle w:val="Strong"/>
                      <w:rFonts w:ascii="Arial" w:hAnsi="Arial" w:cs="Arial"/>
                      <w:b w:val="0"/>
                      <w:bCs w:val="0"/>
                    </w:rPr>
                    <w:t>Very high – fully customizable model, features, and output</w:t>
                  </w:r>
                </w:p>
              </w:tc>
            </w:tr>
          </w:tbl>
          <w:p w14:paraId="54D319F4" w14:textId="77777777" w:rsidR="00EB2776" w:rsidRDefault="00EB2776" w:rsidP="00EB277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2776" w14:paraId="6C2D816A" w14:textId="77777777" w:rsidTr="00EB2776">
              <w:trPr>
                <w:tblCellSpacing w:w="15" w:type="dxa"/>
              </w:trPr>
              <w:tc>
                <w:tcPr>
                  <w:tcW w:w="0" w:type="auto"/>
                  <w:vAlign w:val="center"/>
                  <w:hideMark/>
                </w:tcPr>
                <w:p w14:paraId="4197809B" w14:textId="77777777" w:rsidR="00EB2776" w:rsidRDefault="00EB2776" w:rsidP="00EB2776"/>
              </w:tc>
            </w:tr>
          </w:tbl>
          <w:p w14:paraId="1EB0F752" w14:textId="77777777" w:rsidR="00EB2776" w:rsidRPr="00EB2776" w:rsidRDefault="00EB2776" w:rsidP="00EB2776">
            <w:pPr>
              <w:rPr>
                <w:b/>
                <w:bCs/>
              </w:rPr>
            </w:pPr>
          </w:p>
        </w:tc>
      </w:tr>
      <w:tr w:rsidR="00EB2776" w14:paraId="2E9F5012" w14:textId="77777777" w:rsidTr="00EB2776">
        <w:trPr>
          <w:trHeight w:val="1066"/>
        </w:trPr>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tblGrid>
            <w:tr w:rsidR="00EB2776" w14:paraId="4E5F2D21" w14:textId="77777777" w:rsidTr="00EB2776">
              <w:trPr>
                <w:tblCellSpacing w:w="15" w:type="dxa"/>
              </w:trPr>
              <w:tc>
                <w:tcPr>
                  <w:tcW w:w="0" w:type="auto"/>
                  <w:vAlign w:val="center"/>
                  <w:hideMark/>
                </w:tcPr>
                <w:p w14:paraId="70D2499E" w14:textId="77777777" w:rsidR="00EB2776" w:rsidRPr="00EB2776" w:rsidRDefault="00EB2776" w:rsidP="00EB2776">
                  <w:pPr>
                    <w:rPr>
                      <w:rFonts w:ascii="Arial" w:hAnsi="Arial" w:cs="Arial"/>
                    </w:rPr>
                  </w:pPr>
                  <w:r w:rsidRPr="00EB2776">
                    <w:rPr>
                      <w:rStyle w:val="Strong"/>
                      <w:rFonts w:ascii="Arial" w:hAnsi="Arial" w:cs="Arial"/>
                    </w:rPr>
                    <w:t>Cost</w:t>
                  </w:r>
                </w:p>
              </w:tc>
            </w:tr>
          </w:tbl>
          <w:p w14:paraId="3453390F" w14:textId="77777777" w:rsidR="00EB2776" w:rsidRDefault="00EB2776" w:rsidP="00EB277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2776" w14:paraId="39BCA9CF" w14:textId="77777777" w:rsidTr="00EB2776">
              <w:trPr>
                <w:tblCellSpacing w:w="15" w:type="dxa"/>
              </w:trPr>
              <w:tc>
                <w:tcPr>
                  <w:tcW w:w="0" w:type="auto"/>
                  <w:vAlign w:val="center"/>
                  <w:hideMark/>
                </w:tcPr>
                <w:p w14:paraId="77C0C7C4" w14:textId="77777777" w:rsidR="00EB2776" w:rsidRDefault="00EB2776" w:rsidP="00EB2776"/>
              </w:tc>
            </w:tr>
          </w:tbl>
          <w:p w14:paraId="3216EE17" w14:textId="77777777" w:rsidR="00EB2776" w:rsidRDefault="00EB2776" w:rsidP="00EB2776">
            <w:pPr>
              <w:rPr>
                <w:b/>
                <w:bCs/>
                <w:lang w:val="en-US"/>
              </w:rPr>
            </w:pPr>
          </w:p>
        </w:tc>
        <w:tc>
          <w:tcPr>
            <w:tcW w:w="2761" w:type="dxa"/>
          </w:tcPr>
          <w:p w14:paraId="34B8B9E1" w14:textId="7F0D55CE" w:rsidR="00EB2776" w:rsidRPr="00EB2776" w:rsidRDefault="00EB2776" w:rsidP="00EB2776">
            <w:pPr>
              <w:rPr>
                <w:rFonts w:ascii="Arial" w:hAnsi="Arial" w:cs="Arial"/>
                <w:b/>
                <w:bCs/>
                <w:lang w:val="en-US"/>
              </w:rPr>
            </w:pPr>
            <w:r w:rsidRPr="00EB2776">
              <w:rPr>
                <w:rFonts w:ascii="Arial" w:hAnsi="Arial" w:cs="Arial"/>
              </w:rPr>
              <w:t>Free (academic research)</w:t>
            </w:r>
          </w:p>
        </w:tc>
        <w:tc>
          <w:tcPr>
            <w:tcW w:w="2410" w:type="dxa"/>
          </w:tcPr>
          <w:p w14:paraId="2DBFB831" w14:textId="7FFC7E2B" w:rsidR="00EB2776" w:rsidRPr="00EB2776" w:rsidRDefault="00EB2776" w:rsidP="00EB2776">
            <w:pPr>
              <w:rPr>
                <w:rFonts w:ascii="Arial" w:hAnsi="Arial" w:cs="Arial"/>
                <w:b/>
                <w:bCs/>
                <w:lang w:val="en-US"/>
              </w:rPr>
            </w:pPr>
            <w:r w:rsidRPr="00EB2776">
              <w:rPr>
                <w:rFonts w:ascii="Arial" w:hAnsi="Arial" w:cs="Arial"/>
              </w:rPr>
              <w:t>Very high (licensing + integration + maintenance)</w:t>
            </w:r>
          </w:p>
        </w:tc>
        <w:tc>
          <w:tcPr>
            <w:tcW w:w="2693" w:type="dxa"/>
          </w:tcPr>
          <w:p w14:paraId="177063C0" w14:textId="77777777" w:rsidR="00EB2776" w:rsidRDefault="00EB2776" w:rsidP="00EB277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tblGrid>
            <w:tr w:rsidR="00EB2776" w14:paraId="60935A2B" w14:textId="77777777" w:rsidTr="00EB2776">
              <w:trPr>
                <w:tblCellSpacing w:w="15" w:type="dxa"/>
              </w:trPr>
              <w:tc>
                <w:tcPr>
                  <w:tcW w:w="0" w:type="auto"/>
                  <w:vAlign w:val="center"/>
                  <w:hideMark/>
                </w:tcPr>
                <w:p w14:paraId="4DAF7E76" w14:textId="77777777" w:rsidR="00EB2776" w:rsidRPr="00EB2776" w:rsidRDefault="00EB2776" w:rsidP="00EB2776">
                  <w:pPr>
                    <w:rPr>
                      <w:rFonts w:ascii="Arial" w:hAnsi="Arial" w:cs="Arial"/>
                      <w:b/>
                      <w:bCs/>
                    </w:rPr>
                  </w:pPr>
                  <w:r w:rsidRPr="00EB2776">
                    <w:rPr>
                      <w:rStyle w:val="Strong"/>
                      <w:rFonts w:ascii="Arial" w:hAnsi="Arial" w:cs="Arial"/>
                      <w:b w:val="0"/>
                      <w:bCs w:val="0"/>
                    </w:rPr>
                    <w:t>Zero licensing cost</w:t>
                  </w:r>
                </w:p>
              </w:tc>
            </w:tr>
          </w:tbl>
          <w:p w14:paraId="2F0A0645" w14:textId="77777777" w:rsidR="00EB2776" w:rsidRDefault="00EB2776" w:rsidP="00EB2776">
            <w:pPr>
              <w:rPr>
                <w:b/>
                <w:bCs/>
                <w:lang w:val="en-US"/>
              </w:rPr>
            </w:pPr>
          </w:p>
        </w:tc>
      </w:tr>
      <w:tr w:rsidR="00EB2776" w14:paraId="7B31724F" w14:textId="77777777" w:rsidTr="00EB2776">
        <w:trPr>
          <w:trHeight w:val="690"/>
        </w:trPr>
        <w:tc>
          <w:tcPr>
            <w:tcW w:w="2337" w:type="dxa"/>
          </w:tcPr>
          <w:p w14:paraId="30CF9590" w14:textId="4C8A5366" w:rsidR="00EB2776" w:rsidRPr="00EB2776" w:rsidRDefault="00EB2776" w:rsidP="00EB2776">
            <w:pPr>
              <w:rPr>
                <w:rFonts w:ascii="Arial" w:hAnsi="Arial" w:cs="Arial"/>
                <w:b/>
                <w:bCs/>
                <w:lang w:val="en-US"/>
              </w:rPr>
            </w:pPr>
            <w:r w:rsidRPr="00EB2776">
              <w:rPr>
                <w:rFonts w:ascii="Arial" w:hAnsi="Arial" w:cs="Arial"/>
                <w:b/>
                <w:bCs/>
              </w:rPr>
              <w:t>Integration Complexity</w:t>
            </w:r>
          </w:p>
        </w:tc>
        <w:tc>
          <w:tcPr>
            <w:tcW w:w="2761" w:type="dxa"/>
          </w:tcPr>
          <w:p w14:paraId="26A972AE" w14:textId="422DDBA8" w:rsidR="00EB2776" w:rsidRPr="00EB2776" w:rsidRDefault="00EB2776" w:rsidP="00EB2776">
            <w:pPr>
              <w:rPr>
                <w:rFonts w:ascii="Arial" w:hAnsi="Arial" w:cs="Arial"/>
                <w:b/>
                <w:bCs/>
                <w:lang w:val="en-US"/>
              </w:rPr>
            </w:pPr>
            <w:r w:rsidRPr="00EB2776">
              <w:rPr>
                <w:rFonts w:ascii="Arial" w:hAnsi="Arial" w:cs="Arial"/>
              </w:rPr>
              <w:t>Medium – requires adaptation to local hospital data</w:t>
            </w:r>
          </w:p>
        </w:tc>
        <w:tc>
          <w:tcPr>
            <w:tcW w:w="2410" w:type="dxa"/>
          </w:tcPr>
          <w:p w14:paraId="4DA14DFC" w14:textId="0078D70E" w:rsidR="00EB2776" w:rsidRPr="00EB2776" w:rsidRDefault="00EB2776" w:rsidP="00EB2776">
            <w:pPr>
              <w:rPr>
                <w:rFonts w:ascii="Arial" w:hAnsi="Arial" w:cs="Arial"/>
                <w:b/>
                <w:bCs/>
                <w:lang w:val="en-US"/>
              </w:rPr>
            </w:pPr>
            <w:r w:rsidRPr="00EB2776">
              <w:rPr>
                <w:rFonts w:ascii="Arial" w:hAnsi="Arial" w:cs="Arial"/>
              </w:rPr>
              <w:t>Very high – requires full Epic EMR ecosystem</w:t>
            </w:r>
          </w:p>
        </w:tc>
        <w:tc>
          <w:tcPr>
            <w:tcW w:w="2693" w:type="dxa"/>
          </w:tcPr>
          <w:p w14:paraId="40398F0B" w14:textId="337745BB" w:rsidR="00EB2776" w:rsidRPr="00EB2776" w:rsidRDefault="00EB2776" w:rsidP="00EB2776">
            <w:pPr>
              <w:rPr>
                <w:rFonts w:ascii="Arial" w:hAnsi="Arial" w:cs="Arial"/>
                <w:b/>
                <w:bCs/>
                <w:lang w:val="en-US"/>
              </w:rPr>
            </w:pPr>
            <w:r w:rsidRPr="00EB2776">
              <w:rPr>
                <w:rFonts w:ascii="Arial" w:hAnsi="Arial" w:cs="Arial"/>
              </w:rPr>
              <w:t>Low – can integrate into existing Meir BI/IT systems</w:t>
            </w:r>
          </w:p>
        </w:tc>
      </w:tr>
      <w:tr w:rsidR="00EB2776" w14:paraId="266CE90E" w14:textId="77777777" w:rsidTr="00EB2776">
        <w:trPr>
          <w:trHeight w:val="842"/>
        </w:trPr>
        <w:tc>
          <w:tcPr>
            <w:tcW w:w="2337" w:type="dxa"/>
          </w:tcPr>
          <w:p w14:paraId="32FB2E52" w14:textId="7ADAE961" w:rsidR="00EB2776" w:rsidRPr="00EB2776" w:rsidRDefault="00EB2776" w:rsidP="00EB2776">
            <w:pPr>
              <w:rPr>
                <w:rFonts w:asciiTheme="minorBidi" w:hAnsiTheme="minorBidi"/>
                <w:b/>
                <w:bCs/>
                <w:lang w:val="en-US"/>
              </w:rPr>
            </w:pPr>
            <w:r w:rsidRPr="00EB2776">
              <w:rPr>
                <w:rFonts w:asciiTheme="minorBidi" w:hAnsiTheme="minorBidi"/>
                <w:b/>
                <w:bCs/>
              </w:rPr>
              <w:t>Clinical Value</w:t>
            </w:r>
          </w:p>
        </w:tc>
        <w:tc>
          <w:tcPr>
            <w:tcW w:w="2761" w:type="dxa"/>
          </w:tcPr>
          <w:p w14:paraId="692CCFBC" w14:textId="4178EAEA" w:rsidR="00EB2776" w:rsidRPr="00EB2776" w:rsidRDefault="00EB2776" w:rsidP="00EB2776">
            <w:pPr>
              <w:rPr>
                <w:rFonts w:ascii="Arial" w:hAnsi="Arial" w:cs="Arial"/>
                <w:b/>
                <w:bCs/>
                <w:lang w:val="en-US"/>
              </w:rPr>
            </w:pPr>
            <w:r w:rsidRPr="00EB2776">
              <w:rPr>
                <w:rFonts w:ascii="Arial" w:hAnsi="Arial" w:cs="Arial"/>
              </w:rPr>
              <w:t>Medium – informative but not deployed clinically</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EB2776" w14:paraId="4F6E67AC" w14:textId="77777777" w:rsidTr="00EB2776">
              <w:trPr>
                <w:tblCellSpacing w:w="15" w:type="dxa"/>
              </w:trPr>
              <w:tc>
                <w:tcPr>
                  <w:tcW w:w="0" w:type="auto"/>
                  <w:vAlign w:val="center"/>
                  <w:hideMark/>
                </w:tcPr>
                <w:p w14:paraId="5C088F4D" w14:textId="77777777" w:rsidR="00EB2776" w:rsidRPr="00EB2776" w:rsidRDefault="00EB2776" w:rsidP="00EB2776">
                  <w:pPr>
                    <w:rPr>
                      <w:rFonts w:ascii="Arial" w:hAnsi="Arial" w:cs="Arial"/>
                    </w:rPr>
                  </w:pPr>
                  <w:r w:rsidRPr="00EB2776">
                    <w:rPr>
                      <w:rFonts w:ascii="Arial" w:hAnsi="Arial" w:cs="Arial"/>
                    </w:rPr>
                    <w:t>High – proven operational impact where implemented</w:t>
                  </w:r>
                </w:p>
              </w:tc>
            </w:tr>
          </w:tbl>
          <w:p w14:paraId="598BFE23" w14:textId="77777777" w:rsidR="00EB2776" w:rsidRDefault="00EB2776" w:rsidP="00EB277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2776" w14:paraId="4AA9EB49" w14:textId="77777777" w:rsidTr="00EB2776">
              <w:trPr>
                <w:tblCellSpacing w:w="15" w:type="dxa"/>
              </w:trPr>
              <w:tc>
                <w:tcPr>
                  <w:tcW w:w="0" w:type="auto"/>
                  <w:vAlign w:val="center"/>
                  <w:hideMark/>
                </w:tcPr>
                <w:p w14:paraId="6AA15795" w14:textId="77777777" w:rsidR="00EB2776" w:rsidRDefault="00EB2776" w:rsidP="00EB2776"/>
              </w:tc>
            </w:tr>
          </w:tbl>
          <w:p w14:paraId="772A583A" w14:textId="77777777" w:rsidR="00EB2776" w:rsidRDefault="00EB2776" w:rsidP="00EB2776">
            <w:pPr>
              <w:rPr>
                <w:b/>
                <w:bCs/>
                <w:lang w:val="en-US"/>
              </w:rPr>
            </w:pP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EB2776" w14:paraId="337A75A4" w14:textId="77777777" w:rsidTr="00EB2776">
              <w:trPr>
                <w:tblCellSpacing w:w="15" w:type="dxa"/>
              </w:trPr>
              <w:tc>
                <w:tcPr>
                  <w:tcW w:w="0" w:type="auto"/>
                  <w:vAlign w:val="center"/>
                  <w:hideMark/>
                </w:tcPr>
                <w:p w14:paraId="654F6FA2" w14:textId="77777777" w:rsidR="00EB2776" w:rsidRPr="00EB2776" w:rsidRDefault="00EB2776" w:rsidP="00EB2776">
                  <w:pPr>
                    <w:rPr>
                      <w:rFonts w:ascii="Arial" w:hAnsi="Arial" w:cs="Arial"/>
                      <w:b/>
                      <w:bCs/>
                    </w:rPr>
                  </w:pPr>
                  <w:r w:rsidRPr="00EB2776">
                    <w:rPr>
                      <w:rStyle w:val="Strong"/>
                      <w:rFonts w:ascii="Arial" w:hAnsi="Arial" w:cs="Arial"/>
                      <w:b w:val="0"/>
                      <w:bCs w:val="0"/>
                    </w:rPr>
                    <w:t>High – directly supports Meir’s operational decision-making</w:t>
                  </w:r>
                </w:p>
              </w:tc>
            </w:tr>
          </w:tbl>
          <w:p w14:paraId="7BFFDB9B" w14:textId="77777777" w:rsidR="00EB2776" w:rsidRDefault="00EB2776" w:rsidP="00EB277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2776" w14:paraId="7E96EB67" w14:textId="77777777" w:rsidTr="00EB2776">
              <w:trPr>
                <w:tblCellSpacing w:w="15" w:type="dxa"/>
              </w:trPr>
              <w:tc>
                <w:tcPr>
                  <w:tcW w:w="0" w:type="auto"/>
                  <w:vAlign w:val="center"/>
                  <w:hideMark/>
                </w:tcPr>
                <w:p w14:paraId="2198D102" w14:textId="77777777" w:rsidR="00EB2776" w:rsidRDefault="00EB2776" w:rsidP="00EB2776"/>
              </w:tc>
            </w:tr>
          </w:tbl>
          <w:p w14:paraId="2E87AFB8" w14:textId="77777777" w:rsidR="00EB2776" w:rsidRDefault="00EB2776" w:rsidP="00EB2776">
            <w:pPr>
              <w:rPr>
                <w:b/>
                <w:bCs/>
                <w:lang w:val="en-US"/>
              </w:rPr>
            </w:pPr>
          </w:p>
        </w:tc>
      </w:tr>
      <w:tr w:rsidR="00EB2776" w14:paraId="4B584045" w14:textId="77777777" w:rsidTr="00EB2776">
        <w:trPr>
          <w:trHeight w:val="981"/>
        </w:trPr>
        <w:tc>
          <w:tcPr>
            <w:tcW w:w="2337" w:type="dxa"/>
          </w:tcPr>
          <w:p w14:paraId="3B35954E" w14:textId="280C07D9" w:rsidR="00EB2776" w:rsidRPr="00EB2776" w:rsidRDefault="00EB2776" w:rsidP="00EB2776">
            <w:pPr>
              <w:rPr>
                <w:rFonts w:asciiTheme="minorBidi" w:hAnsiTheme="minorBidi"/>
                <w:b/>
                <w:bCs/>
                <w:lang w:val="en-US"/>
              </w:rPr>
            </w:pPr>
            <w:r w:rsidRPr="00EB2776">
              <w:rPr>
                <w:rFonts w:asciiTheme="minorBidi" w:hAnsiTheme="minorBidi"/>
                <w:b/>
                <w:bCs/>
              </w:rPr>
              <w:t>Model Adjustability</w:t>
            </w:r>
          </w:p>
        </w:tc>
        <w:tc>
          <w:tcPr>
            <w:tcW w:w="2761" w:type="dxa"/>
          </w:tcPr>
          <w:p w14:paraId="11AD954D" w14:textId="46E68B37" w:rsidR="00EB2776" w:rsidRPr="00EB2776" w:rsidRDefault="00EB2776" w:rsidP="00EB2776">
            <w:pPr>
              <w:rPr>
                <w:rFonts w:asciiTheme="minorBidi" w:hAnsiTheme="minorBidi"/>
                <w:b/>
                <w:bCs/>
                <w:lang w:val="en-US"/>
              </w:rPr>
            </w:pPr>
            <w:r w:rsidRPr="00EB2776">
              <w:rPr>
                <w:rFonts w:asciiTheme="minorBidi" w:hAnsiTheme="minorBidi"/>
              </w:rPr>
              <w:t>High – open-source or replicable</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EB2776" w14:paraId="2E3EFB85" w14:textId="77777777" w:rsidTr="00EB2776">
              <w:trPr>
                <w:tblCellSpacing w:w="15" w:type="dxa"/>
              </w:trPr>
              <w:tc>
                <w:tcPr>
                  <w:tcW w:w="0" w:type="auto"/>
                  <w:vAlign w:val="center"/>
                  <w:hideMark/>
                </w:tcPr>
                <w:p w14:paraId="1EAEAD67" w14:textId="77777777" w:rsidR="00EB2776" w:rsidRPr="00EB2776" w:rsidRDefault="00EB2776" w:rsidP="00EB2776">
                  <w:pPr>
                    <w:rPr>
                      <w:rFonts w:asciiTheme="minorBidi" w:hAnsiTheme="minorBidi"/>
                    </w:rPr>
                  </w:pPr>
                  <w:r w:rsidRPr="00EB2776">
                    <w:rPr>
                      <w:rFonts w:asciiTheme="minorBidi" w:hAnsiTheme="minorBidi"/>
                    </w:rPr>
                    <w:t>None – algorithms cannot be adjusted</w:t>
                  </w:r>
                </w:p>
              </w:tc>
            </w:tr>
          </w:tbl>
          <w:p w14:paraId="4143F283" w14:textId="77777777" w:rsidR="00EB2776" w:rsidRDefault="00EB2776" w:rsidP="00EB277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2776" w14:paraId="3B747E0F" w14:textId="77777777" w:rsidTr="00EB2776">
              <w:trPr>
                <w:tblCellSpacing w:w="15" w:type="dxa"/>
              </w:trPr>
              <w:tc>
                <w:tcPr>
                  <w:tcW w:w="0" w:type="auto"/>
                  <w:vAlign w:val="center"/>
                  <w:hideMark/>
                </w:tcPr>
                <w:p w14:paraId="66BB5338" w14:textId="77777777" w:rsidR="00EB2776" w:rsidRDefault="00EB2776" w:rsidP="00EB2776"/>
              </w:tc>
            </w:tr>
          </w:tbl>
          <w:p w14:paraId="4B4554C8" w14:textId="77777777" w:rsidR="00EB2776" w:rsidRPr="00EB2776" w:rsidRDefault="00EB2776" w:rsidP="00EB2776">
            <w:pPr>
              <w:rPr>
                <w:b/>
                <w:bCs/>
              </w:rPr>
            </w:pPr>
          </w:p>
        </w:tc>
        <w:tc>
          <w:tcPr>
            <w:tcW w:w="2693" w:type="dxa"/>
          </w:tcPr>
          <w:p w14:paraId="3DD26422" w14:textId="34079D52" w:rsidR="00EB2776" w:rsidRPr="00EB2776" w:rsidRDefault="00EB2776" w:rsidP="00EB2776">
            <w:pPr>
              <w:rPr>
                <w:rFonts w:asciiTheme="minorBidi" w:hAnsiTheme="minorBidi"/>
                <w:b/>
                <w:bCs/>
                <w:lang w:val="en-US"/>
              </w:rPr>
            </w:pPr>
            <w:r w:rsidRPr="00EB2776">
              <w:rPr>
                <w:rFonts w:asciiTheme="minorBidi" w:hAnsiTheme="minorBidi"/>
              </w:rPr>
              <w:t>Very high – complete control over model tuning and improvements</w:t>
            </w:r>
          </w:p>
        </w:tc>
      </w:tr>
    </w:tbl>
    <w:p w14:paraId="476B910D" w14:textId="616F897C" w:rsidR="00EB2776" w:rsidRPr="00EB2776" w:rsidRDefault="00EB2776" w:rsidP="00EB2776">
      <w:pPr>
        <w:rPr>
          <w:b/>
          <w:bCs/>
          <w:lang w:val="en-US"/>
        </w:rPr>
      </w:pPr>
    </w:p>
    <w:p w14:paraId="3D6E7789" w14:textId="77777777" w:rsidR="00B60FD9" w:rsidRDefault="00B60FD9">
      <w:pPr>
        <w:rPr>
          <w:rtl/>
          <w:lang w:val="en-US"/>
        </w:rPr>
      </w:pPr>
    </w:p>
    <w:p w14:paraId="7CBF8429" w14:textId="77777777" w:rsidR="00B60FD9" w:rsidRDefault="00B60FD9">
      <w:pPr>
        <w:rPr>
          <w:lang w:val="en-US"/>
        </w:rPr>
      </w:pPr>
    </w:p>
    <w:p w14:paraId="1A501186" w14:textId="77777777" w:rsidR="00B60FD9" w:rsidRDefault="00B60FD9">
      <w:pPr>
        <w:rPr>
          <w:lang w:val="en-US"/>
        </w:rPr>
      </w:pPr>
    </w:p>
    <w:p w14:paraId="4C79BEA3" w14:textId="77777777" w:rsidR="00B60FD9" w:rsidRDefault="00B60FD9">
      <w:pPr>
        <w:rPr>
          <w:lang w:val="en-US"/>
        </w:rPr>
      </w:pPr>
    </w:p>
    <w:p w14:paraId="2EEBC4AA" w14:textId="77777777" w:rsidR="00B60FD9" w:rsidRDefault="00B60FD9">
      <w:pPr>
        <w:rPr>
          <w:lang w:val="en-US"/>
        </w:rPr>
      </w:pPr>
    </w:p>
    <w:p w14:paraId="64D5E1F7" w14:textId="232B151A" w:rsidR="00B60FD9" w:rsidRPr="008436B4" w:rsidRDefault="00B60FD9">
      <w:pPr>
        <w:rPr>
          <w:lang w:val="en-US"/>
        </w:rPr>
      </w:pPr>
    </w:p>
    <w:sectPr w:rsidR="00B60FD9" w:rsidRPr="008436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B4"/>
    <w:rsid w:val="000947BE"/>
    <w:rsid w:val="007F6F79"/>
    <w:rsid w:val="008436B4"/>
    <w:rsid w:val="00B60FD9"/>
    <w:rsid w:val="00E93752"/>
    <w:rsid w:val="00EB277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BD40"/>
  <w15:chartTrackingRefBased/>
  <w15:docId w15:val="{2A843004-0407-7E43-B899-834E2A75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6B4"/>
    <w:rPr>
      <w:rFonts w:eastAsiaTheme="majorEastAsia" w:cstheme="majorBidi"/>
      <w:color w:val="272727" w:themeColor="text1" w:themeTint="D8"/>
    </w:rPr>
  </w:style>
  <w:style w:type="paragraph" w:styleId="Title">
    <w:name w:val="Title"/>
    <w:basedOn w:val="Normal"/>
    <w:next w:val="Normal"/>
    <w:link w:val="TitleChar"/>
    <w:uiPriority w:val="10"/>
    <w:qFormat/>
    <w:rsid w:val="00843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6B4"/>
    <w:pPr>
      <w:spacing w:before="160"/>
      <w:jc w:val="center"/>
    </w:pPr>
    <w:rPr>
      <w:i/>
      <w:iCs/>
      <w:color w:val="404040" w:themeColor="text1" w:themeTint="BF"/>
    </w:rPr>
  </w:style>
  <w:style w:type="character" w:customStyle="1" w:styleId="QuoteChar">
    <w:name w:val="Quote Char"/>
    <w:basedOn w:val="DefaultParagraphFont"/>
    <w:link w:val="Quote"/>
    <w:uiPriority w:val="29"/>
    <w:rsid w:val="008436B4"/>
    <w:rPr>
      <w:i/>
      <w:iCs/>
      <w:color w:val="404040" w:themeColor="text1" w:themeTint="BF"/>
    </w:rPr>
  </w:style>
  <w:style w:type="paragraph" w:styleId="ListParagraph">
    <w:name w:val="List Paragraph"/>
    <w:basedOn w:val="Normal"/>
    <w:uiPriority w:val="34"/>
    <w:qFormat/>
    <w:rsid w:val="008436B4"/>
    <w:pPr>
      <w:ind w:left="720"/>
      <w:contextualSpacing/>
    </w:pPr>
  </w:style>
  <w:style w:type="character" w:styleId="IntenseEmphasis">
    <w:name w:val="Intense Emphasis"/>
    <w:basedOn w:val="DefaultParagraphFont"/>
    <w:uiPriority w:val="21"/>
    <w:qFormat/>
    <w:rsid w:val="008436B4"/>
    <w:rPr>
      <w:i/>
      <w:iCs/>
      <w:color w:val="0F4761" w:themeColor="accent1" w:themeShade="BF"/>
    </w:rPr>
  </w:style>
  <w:style w:type="paragraph" w:styleId="IntenseQuote">
    <w:name w:val="Intense Quote"/>
    <w:basedOn w:val="Normal"/>
    <w:next w:val="Normal"/>
    <w:link w:val="IntenseQuoteChar"/>
    <w:uiPriority w:val="30"/>
    <w:qFormat/>
    <w:rsid w:val="00843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6B4"/>
    <w:rPr>
      <w:i/>
      <w:iCs/>
      <w:color w:val="0F4761" w:themeColor="accent1" w:themeShade="BF"/>
    </w:rPr>
  </w:style>
  <w:style w:type="character" w:styleId="IntenseReference">
    <w:name w:val="Intense Reference"/>
    <w:basedOn w:val="DefaultParagraphFont"/>
    <w:uiPriority w:val="32"/>
    <w:qFormat/>
    <w:rsid w:val="008436B4"/>
    <w:rPr>
      <w:b/>
      <w:bCs/>
      <w:smallCaps/>
      <w:color w:val="0F4761" w:themeColor="accent1" w:themeShade="BF"/>
      <w:spacing w:val="5"/>
    </w:rPr>
  </w:style>
  <w:style w:type="character" w:styleId="Hyperlink">
    <w:name w:val="Hyperlink"/>
    <w:basedOn w:val="DefaultParagraphFont"/>
    <w:uiPriority w:val="99"/>
    <w:unhideWhenUsed/>
    <w:rsid w:val="00B60FD9"/>
    <w:rPr>
      <w:color w:val="467886" w:themeColor="hyperlink"/>
      <w:u w:val="single"/>
    </w:rPr>
  </w:style>
  <w:style w:type="character" w:styleId="UnresolvedMention">
    <w:name w:val="Unresolved Mention"/>
    <w:basedOn w:val="DefaultParagraphFont"/>
    <w:uiPriority w:val="99"/>
    <w:semiHidden/>
    <w:unhideWhenUsed/>
    <w:rsid w:val="00B60FD9"/>
    <w:rPr>
      <w:color w:val="605E5C"/>
      <w:shd w:val="clear" w:color="auto" w:fill="E1DFDD"/>
    </w:rPr>
  </w:style>
  <w:style w:type="character" w:styleId="FollowedHyperlink">
    <w:name w:val="FollowedHyperlink"/>
    <w:basedOn w:val="DefaultParagraphFont"/>
    <w:uiPriority w:val="99"/>
    <w:semiHidden/>
    <w:unhideWhenUsed/>
    <w:rsid w:val="00B60FD9"/>
    <w:rPr>
      <w:color w:val="96607D" w:themeColor="followedHyperlink"/>
      <w:u w:val="single"/>
    </w:rPr>
  </w:style>
  <w:style w:type="paragraph" w:styleId="NormalWeb">
    <w:name w:val="Normal (Web)"/>
    <w:basedOn w:val="Normal"/>
    <w:uiPriority w:val="99"/>
    <w:semiHidden/>
    <w:unhideWhenUsed/>
    <w:rsid w:val="00B60F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0FD9"/>
    <w:rPr>
      <w:b/>
      <w:bCs/>
    </w:rPr>
  </w:style>
  <w:style w:type="character" w:styleId="Emphasis">
    <w:name w:val="Emphasis"/>
    <w:basedOn w:val="DefaultParagraphFont"/>
    <w:uiPriority w:val="20"/>
    <w:qFormat/>
    <w:rsid w:val="00EB2776"/>
    <w:rPr>
      <w:i/>
      <w:iCs/>
    </w:rPr>
  </w:style>
  <w:style w:type="table" w:styleId="TableGrid">
    <w:name w:val="Table Grid"/>
    <w:basedOn w:val="TableNormal"/>
    <w:uiPriority w:val="39"/>
    <w:rsid w:val="00EB2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297">
      <w:bodyDiv w:val="1"/>
      <w:marLeft w:val="0"/>
      <w:marRight w:val="0"/>
      <w:marTop w:val="0"/>
      <w:marBottom w:val="0"/>
      <w:divBdr>
        <w:top w:val="none" w:sz="0" w:space="0" w:color="auto"/>
        <w:left w:val="none" w:sz="0" w:space="0" w:color="auto"/>
        <w:bottom w:val="none" w:sz="0" w:space="0" w:color="auto"/>
        <w:right w:val="none" w:sz="0" w:space="0" w:color="auto"/>
      </w:divBdr>
      <w:divsChild>
        <w:div w:id="358285956">
          <w:marLeft w:val="0"/>
          <w:marRight w:val="0"/>
          <w:marTop w:val="0"/>
          <w:marBottom w:val="0"/>
          <w:divBdr>
            <w:top w:val="none" w:sz="0" w:space="0" w:color="auto"/>
            <w:left w:val="none" w:sz="0" w:space="0" w:color="auto"/>
            <w:bottom w:val="none" w:sz="0" w:space="0" w:color="auto"/>
            <w:right w:val="none" w:sz="0" w:space="0" w:color="auto"/>
          </w:divBdr>
          <w:divsChild>
            <w:div w:id="942037419">
              <w:marLeft w:val="0"/>
              <w:marRight w:val="0"/>
              <w:marTop w:val="0"/>
              <w:marBottom w:val="0"/>
              <w:divBdr>
                <w:top w:val="none" w:sz="0" w:space="0" w:color="auto"/>
                <w:left w:val="none" w:sz="0" w:space="0" w:color="auto"/>
                <w:bottom w:val="none" w:sz="0" w:space="0" w:color="auto"/>
                <w:right w:val="none" w:sz="0" w:space="0" w:color="auto"/>
              </w:divBdr>
              <w:divsChild>
                <w:div w:id="324095797">
                  <w:marLeft w:val="0"/>
                  <w:marRight w:val="0"/>
                  <w:marTop w:val="0"/>
                  <w:marBottom w:val="0"/>
                  <w:divBdr>
                    <w:top w:val="none" w:sz="0" w:space="0" w:color="auto"/>
                    <w:left w:val="none" w:sz="0" w:space="0" w:color="auto"/>
                    <w:bottom w:val="none" w:sz="0" w:space="0" w:color="auto"/>
                    <w:right w:val="none" w:sz="0" w:space="0" w:color="auto"/>
                  </w:divBdr>
                  <w:divsChild>
                    <w:div w:id="405499115">
                      <w:marLeft w:val="0"/>
                      <w:marRight w:val="0"/>
                      <w:marTop w:val="0"/>
                      <w:marBottom w:val="0"/>
                      <w:divBdr>
                        <w:top w:val="none" w:sz="0" w:space="0" w:color="auto"/>
                        <w:left w:val="none" w:sz="0" w:space="0" w:color="auto"/>
                        <w:bottom w:val="none" w:sz="0" w:space="0" w:color="auto"/>
                        <w:right w:val="none" w:sz="0" w:space="0" w:color="auto"/>
                      </w:divBdr>
                      <w:divsChild>
                        <w:div w:id="1999920212">
                          <w:marLeft w:val="0"/>
                          <w:marRight w:val="0"/>
                          <w:marTop w:val="0"/>
                          <w:marBottom w:val="0"/>
                          <w:divBdr>
                            <w:top w:val="none" w:sz="0" w:space="0" w:color="auto"/>
                            <w:left w:val="none" w:sz="0" w:space="0" w:color="auto"/>
                            <w:bottom w:val="none" w:sz="0" w:space="0" w:color="auto"/>
                            <w:right w:val="none" w:sz="0" w:space="0" w:color="auto"/>
                          </w:divBdr>
                          <w:divsChild>
                            <w:div w:id="10180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910649">
      <w:bodyDiv w:val="1"/>
      <w:marLeft w:val="0"/>
      <w:marRight w:val="0"/>
      <w:marTop w:val="0"/>
      <w:marBottom w:val="0"/>
      <w:divBdr>
        <w:top w:val="none" w:sz="0" w:space="0" w:color="auto"/>
        <w:left w:val="none" w:sz="0" w:space="0" w:color="auto"/>
        <w:bottom w:val="none" w:sz="0" w:space="0" w:color="auto"/>
        <w:right w:val="none" w:sz="0" w:space="0" w:color="auto"/>
      </w:divBdr>
    </w:div>
    <w:div w:id="553083787">
      <w:bodyDiv w:val="1"/>
      <w:marLeft w:val="0"/>
      <w:marRight w:val="0"/>
      <w:marTop w:val="0"/>
      <w:marBottom w:val="0"/>
      <w:divBdr>
        <w:top w:val="none" w:sz="0" w:space="0" w:color="auto"/>
        <w:left w:val="none" w:sz="0" w:space="0" w:color="auto"/>
        <w:bottom w:val="none" w:sz="0" w:space="0" w:color="auto"/>
        <w:right w:val="none" w:sz="0" w:space="0" w:color="auto"/>
      </w:divBdr>
    </w:div>
    <w:div w:id="618335949">
      <w:bodyDiv w:val="1"/>
      <w:marLeft w:val="0"/>
      <w:marRight w:val="0"/>
      <w:marTop w:val="0"/>
      <w:marBottom w:val="0"/>
      <w:divBdr>
        <w:top w:val="none" w:sz="0" w:space="0" w:color="auto"/>
        <w:left w:val="none" w:sz="0" w:space="0" w:color="auto"/>
        <w:bottom w:val="none" w:sz="0" w:space="0" w:color="auto"/>
        <w:right w:val="none" w:sz="0" w:space="0" w:color="auto"/>
      </w:divBdr>
    </w:div>
    <w:div w:id="689449845">
      <w:bodyDiv w:val="1"/>
      <w:marLeft w:val="0"/>
      <w:marRight w:val="0"/>
      <w:marTop w:val="0"/>
      <w:marBottom w:val="0"/>
      <w:divBdr>
        <w:top w:val="none" w:sz="0" w:space="0" w:color="auto"/>
        <w:left w:val="none" w:sz="0" w:space="0" w:color="auto"/>
        <w:bottom w:val="none" w:sz="0" w:space="0" w:color="auto"/>
        <w:right w:val="none" w:sz="0" w:space="0" w:color="auto"/>
      </w:divBdr>
    </w:div>
    <w:div w:id="837429493">
      <w:bodyDiv w:val="1"/>
      <w:marLeft w:val="0"/>
      <w:marRight w:val="0"/>
      <w:marTop w:val="0"/>
      <w:marBottom w:val="0"/>
      <w:divBdr>
        <w:top w:val="none" w:sz="0" w:space="0" w:color="auto"/>
        <w:left w:val="none" w:sz="0" w:space="0" w:color="auto"/>
        <w:bottom w:val="none" w:sz="0" w:space="0" w:color="auto"/>
        <w:right w:val="none" w:sz="0" w:space="0" w:color="auto"/>
      </w:divBdr>
    </w:div>
    <w:div w:id="1041907453">
      <w:bodyDiv w:val="1"/>
      <w:marLeft w:val="0"/>
      <w:marRight w:val="0"/>
      <w:marTop w:val="0"/>
      <w:marBottom w:val="0"/>
      <w:divBdr>
        <w:top w:val="none" w:sz="0" w:space="0" w:color="auto"/>
        <w:left w:val="none" w:sz="0" w:space="0" w:color="auto"/>
        <w:bottom w:val="none" w:sz="0" w:space="0" w:color="auto"/>
        <w:right w:val="none" w:sz="0" w:space="0" w:color="auto"/>
      </w:divBdr>
    </w:div>
    <w:div w:id="1643847655">
      <w:bodyDiv w:val="1"/>
      <w:marLeft w:val="0"/>
      <w:marRight w:val="0"/>
      <w:marTop w:val="0"/>
      <w:marBottom w:val="0"/>
      <w:divBdr>
        <w:top w:val="none" w:sz="0" w:space="0" w:color="auto"/>
        <w:left w:val="none" w:sz="0" w:space="0" w:color="auto"/>
        <w:bottom w:val="none" w:sz="0" w:space="0" w:color="auto"/>
        <w:right w:val="none" w:sz="0" w:space="0" w:color="auto"/>
      </w:divBdr>
    </w:div>
    <w:div w:id="1695227865">
      <w:bodyDiv w:val="1"/>
      <w:marLeft w:val="0"/>
      <w:marRight w:val="0"/>
      <w:marTop w:val="0"/>
      <w:marBottom w:val="0"/>
      <w:divBdr>
        <w:top w:val="none" w:sz="0" w:space="0" w:color="auto"/>
        <w:left w:val="none" w:sz="0" w:space="0" w:color="auto"/>
        <w:bottom w:val="none" w:sz="0" w:space="0" w:color="auto"/>
        <w:right w:val="none" w:sz="0" w:space="0" w:color="auto"/>
      </w:divBdr>
    </w:div>
    <w:div w:id="1959725174">
      <w:bodyDiv w:val="1"/>
      <w:marLeft w:val="0"/>
      <w:marRight w:val="0"/>
      <w:marTop w:val="0"/>
      <w:marBottom w:val="0"/>
      <w:divBdr>
        <w:top w:val="none" w:sz="0" w:space="0" w:color="auto"/>
        <w:left w:val="none" w:sz="0" w:space="0" w:color="auto"/>
        <w:bottom w:val="none" w:sz="0" w:space="0" w:color="auto"/>
        <w:right w:val="none" w:sz="0" w:space="0" w:color="auto"/>
      </w:divBdr>
    </w:div>
    <w:div w:id="203700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950</Words>
  <Characters>5417</Characters>
  <Application>Microsoft Office Word</Application>
  <DocSecurity>0</DocSecurity>
  <Lines>45</Lines>
  <Paragraphs>12</Paragraphs>
  <ScaleCrop>false</ScaleCrop>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Refael Shpigelman</dc:creator>
  <cp:keywords/>
  <dc:description/>
  <cp:lastModifiedBy>Refael Shpigelman</cp:lastModifiedBy>
  <cp:revision>3</cp:revision>
  <dcterms:created xsi:type="dcterms:W3CDTF">2025-12-04T09:55:00Z</dcterms:created>
  <dcterms:modified xsi:type="dcterms:W3CDTF">2025-12-04T10:11:00Z</dcterms:modified>
</cp:coreProperties>
</file>