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t>Testiranje Projekta</w:t>
      </w:r>
    </w:p>
    <w:p>
      <w:pPr>
        <w:pStyle w:val="Normal"/>
        <w:bidi w:val="0"/>
        <w:jc w:val="center"/>
        <w:rPr>
          <w:sz w:val="28"/>
          <w:szCs w:val="28"/>
        </w:rPr>
      </w:pPr>
      <w:r>
        <w:rPr>
          <w:sz w:val="28"/>
          <w:szCs w:val="28"/>
        </w:rPr>
        <w:t>si3psi</w:t>
      </w:r>
    </w:p>
    <w:p>
      <w:pPr>
        <w:pStyle w:val="Normal"/>
        <w:bidi w:val="0"/>
        <w:jc w:val="center"/>
        <w:rPr>
          <w:sz w:val="28"/>
          <w:szCs w:val="28"/>
        </w:rPr>
      </w:pPr>
      <w:r>
        <w:rPr>
          <w:sz w:val="28"/>
          <w:szCs w:val="28"/>
        </w:rPr>
      </w:r>
    </w:p>
    <w:p>
      <w:pPr>
        <w:pStyle w:val="Normal"/>
        <w:bidi w:val="0"/>
        <w:jc w:val="center"/>
        <w:rPr>
          <w:sz w:val="28"/>
          <w:szCs w:val="28"/>
        </w:rPr>
      </w:pPr>
      <w:r>
        <w:rPr>
          <w:sz w:val="28"/>
          <w:szCs w:val="28"/>
        </w:rPr>
        <w:t xml:space="preserve">Autor: Filip </w:t>
      </w:r>
      <w:r>
        <w:rPr>
          <w:sz w:val="28"/>
          <w:szCs w:val="28"/>
          <w:lang w:val="sr-Latn-RS"/>
        </w:rPr>
        <w:t>Đurđević</w:t>
      </w:r>
    </w:p>
    <w:p>
      <w:pPr>
        <w:pStyle w:val="Normal"/>
        <w:bidi w:val="0"/>
        <w:jc w:val="center"/>
        <w:rPr>
          <w:sz w:val="28"/>
          <w:szCs w:val="28"/>
        </w:rPr>
      </w:pPr>
      <w:r>
        <w:rPr>
          <w:sz w:val="28"/>
          <w:szCs w:val="28"/>
          <w:lang w:val="sr-Latn-RS"/>
        </w:rPr>
        <w:t>Tim: Sportaši</w:t>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lang w:val="sr-Latn-RS"/>
        </w:rPr>
      </w:pPr>
      <w:r>
        <w:rPr>
          <w:lang w:val="sr-Latn-RS"/>
        </w:rPr>
      </w:r>
    </w:p>
    <w:p>
      <w:pPr>
        <w:pStyle w:val="Normal"/>
        <w:bidi w:val="0"/>
        <w:jc w:val="center"/>
        <w:rPr>
          <w:sz w:val="28"/>
          <w:szCs w:val="28"/>
        </w:rPr>
      </w:pPr>
      <w:r>
        <w:rPr>
          <w:sz w:val="28"/>
          <w:szCs w:val="28"/>
          <w:lang w:val="sr-Latn-RS"/>
        </w:rPr>
        <w:t>Dokument je namenjen za prikaz  manuelnih testova,</w:t>
      </w:r>
    </w:p>
    <w:p>
      <w:pPr>
        <w:pStyle w:val="Normal"/>
        <w:bidi w:val="0"/>
        <w:jc w:val="center"/>
        <w:rPr>
          <w:sz w:val="28"/>
          <w:szCs w:val="28"/>
        </w:rPr>
      </w:pPr>
      <w:r>
        <w:rPr>
          <w:sz w:val="28"/>
          <w:szCs w:val="28"/>
          <w:lang w:val="sr-Latn-RS"/>
        </w:rPr>
        <w:t xml:space="preserve"> </w:t>
      </w:r>
      <w:r>
        <w:rPr>
          <w:sz w:val="28"/>
          <w:szCs w:val="28"/>
          <w:lang w:val="sr-Latn-RS"/>
        </w:rPr>
        <w:t>objašnjenje automatskih i prikaz testova performansi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bidi w:val="0"/>
        <w:jc w:val="left"/>
        <w:rPr/>
      </w:pPr>
      <w:r>
        <w:rPr/>
      </w:r>
    </w:p>
    <w:p>
      <w:pPr>
        <w:pStyle w:val="TextBody"/>
        <w:rPr>
          <w:b/>
          <w:b/>
          <w:bCs/>
          <w:sz w:val="32"/>
          <w:szCs w:val="32"/>
        </w:rPr>
      </w:pPr>
      <w:r>
        <w:rPr>
          <w:b/>
          <w:bCs/>
          <w:sz w:val="32"/>
          <w:szCs w:val="32"/>
        </w:rPr>
      </w:r>
    </w:p>
    <w:p>
      <w:pPr>
        <w:pStyle w:val="TextBody"/>
        <w:bidi w:val="0"/>
        <w:jc w:val="left"/>
        <w:rPr>
          <w:b/>
          <w:b/>
          <w:bCs/>
          <w:sz w:val="32"/>
          <w:szCs w:val="32"/>
        </w:rPr>
      </w:pPr>
      <w:r>
        <w:rPr>
          <w:b/>
          <w:bCs/>
          <w:sz w:val="32"/>
          <w:szCs w:val="32"/>
          <w:lang w:val="sr-Latn-RS"/>
        </w:rPr>
        <w:t>1. Funkcionalno Testiranje</w:t>
      </w:r>
    </w:p>
    <w:p>
      <w:pPr>
        <w:pStyle w:val="Normal"/>
        <w:bidi w:val="0"/>
        <w:jc w:val="left"/>
        <w:rPr/>
      </w:pPr>
      <w:r>
        <w:rPr/>
      </w:r>
    </w:p>
    <w:p>
      <w:pPr>
        <w:pStyle w:val="Normal"/>
        <w:bidi w:val="0"/>
        <w:jc w:val="left"/>
        <w:rPr/>
      </w:pPr>
      <w:r>
        <w:rPr/>
        <w:t>Potrebno je testirati aplikaciju. Međutim, testiranje same mape nosi sa sobom određene probleme. Iz tog razloga je testiranje mape odrađeno manuelno, uz manji broj automatskih testova. Ostatak aplikacije potrebno je testirati automatski.</w:t>
      </w:r>
    </w:p>
    <w:p>
      <w:pPr>
        <w:pStyle w:val="Normal"/>
        <w:bidi w:val="0"/>
        <w:jc w:val="left"/>
        <w:rPr>
          <w:b/>
          <w:b/>
          <w:bCs/>
          <w:sz w:val="30"/>
          <w:szCs w:val="30"/>
        </w:rPr>
      </w:pPr>
      <w:r>
        <w:rPr/>
      </w:r>
    </w:p>
    <w:p>
      <w:pPr>
        <w:pStyle w:val="TextBody"/>
        <w:bidi w:val="0"/>
        <w:jc w:val="left"/>
        <w:rPr>
          <w:b/>
          <w:b/>
          <w:bCs/>
          <w:sz w:val="30"/>
          <w:szCs w:val="30"/>
        </w:rPr>
      </w:pPr>
      <w:r>
        <w:rPr>
          <w:b/>
          <w:bCs/>
          <w:sz w:val="30"/>
          <w:szCs w:val="30"/>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bidi w:val="0"/>
        <w:jc w:val="left"/>
        <w:rPr/>
      </w:pPr>
      <w:r>
        <w:rPr/>
      </w:r>
    </w:p>
    <w:p>
      <w:pPr>
        <w:pStyle w:val="TextBody"/>
        <w:rPr>
          <w:b/>
          <w:b/>
          <w:bCs/>
          <w:sz w:val="32"/>
          <w:szCs w:val="32"/>
        </w:rPr>
      </w:pPr>
      <w:r>
        <w:rPr>
          <w:b/>
          <w:bCs/>
          <w:sz w:val="32"/>
          <w:szCs w:val="32"/>
        </w:rPr>
      </w:r>
    </w:p>
    <w:p>
      <w:pPr>
        <w:pStyle w:val="TextBody"/>
        <w:rPr>
          <w:b/>
          <w:b/>
          <w:bCs/>
          <w:sz w:val="32"/>
          <w:szCs w:val="32"/>
        </w:rPr>
      </w:pPr>
      <w:r>
        <w:rPr>
          <w:b/>
          <w:bCs/>
          <w:sz w:val="32"/>
          <w:szCs w:val="32"/>
        </w:rPr>
        <w:t>2. Testiranje performansi aplikacije</w:t>
      </w:r>
    </w:p>
    <w:p>
      <w:pPr>
        <w:pStyle w:val="TextBody"/>
        <w:rPr/>
      </w:pPr>
      <w:r>
        <w:rPr/>
        <w:t>Potrebno je testirati I performanse aplikacije. Razlozi I dodatna pojašnjenja mogu se pronaći u samoj dokumentaciji projekta. U ovom dokumentu objašnjen je proces testirana performansi, zaključci pri tom procesu, kao I određeni elementi koji nam pomažu pri vizuelizaciji procesa I odnosa podataka.   Uz neke stavke priložena su urađena rešenja ili moguća dodatna rešenja.</w:t>
      </w:r>
    </w:p>
    <w:p>
      <w:pPr>
        <w:pStyle w:val="TextBody"/>
        <w:rPr>
          <w:b/>
          <w:b/>
          <w:bCs/>
          <w:sz w:val="30"/>
          <w:szCs w:val="30"/>
        </w:rPr>
      </w:pPr>
      <w:r>
        <w:rPr>
          <w:b/>
          <w:bCs/>
          <w:sz w:val="30"/>
          <w:szCs w:val="30"/>
        </w:rPr>
        <w:t>2.1. Testiranje funkcionalnog ograničenja broja lokacija</w:t>
      </w:r>
    </w:p>
    <w:p>
      <w:pPr>
        <w:pStyle w:val="TextBody"/>
        <w:rPr>
          <w:b w:val="false"/>
          <w:b w:val="false"/>
          <w:bCs w:val="false"/>
          <w:sz w:val="24"/>
          <w:szCs w:val="24"/>
        </w:rPr>
      </w:pPr>
      <w:r>
        <w:rPr>
          <w:b w:val="false"/>
          <w:bCs w:val="false"/>
          <w:sz w:val="24"/>
          <w:szCs w:val="24"/>
        </w:rPr>
        <w:t>Broj lokacija bio je ograničen na približno 165 lokacija. Testiranje je rađeno ručno. Ograničenje je predstavljala veličina zahteva koji se šalju API-u. Rešenje je jednostavan algoritam koji šalje više zahteva I na osnovu tih zahteva sam traži najbližu lokaciju. Samim ovim procesom unosimo dodatno kašnjenje, ali to nama ne predstavlja veliki problem, kao što se može videti u Tabeli 1. Ovim smo odstranili ograničenja u pogledu API-a.</w:t>
      </w:r>
    </w:p>
    <w:p>
      <w:pPr>
        <w:pStyle w:val="TextBody"/>
        <w:rPr>
          <w:b/>
          <w:b/>
          <w:bCs/>
          <w:sz w:val="30"/>
          <w:szCs w:val="30"/>
        </w:rPr>
      </w:pPr>
      <w:r>
        <w:rPr>
          <w:b/>
          <w:bCs/>
          <w:sz w:val="30"/>
          <w:szCs w:val="30"/>
        </w:rPr>
        <w:t>2.2. Testiranje trajanja obrade zahteva</w:t>
      </w:r>
    </w:p>
    <w:p>
      <w:pPr>
        <w:pStyle w:val="TextBody"/>
        <w:rPr>
          <w:b w:val="false"/>
          <w:b w:val="false"/>
          <w:bCs w:val="false"/>
          <w:sz w:val="24"/>
          <w:szCs w:val="24"/>
        </w:rPr>
      </w:pPr>
      <w:r>
        <w:rPr>
          <w:b w:val="false"/>
          <w:bCs w:val="false"/>
          <w:sz w:val="24"/>
          <w:szCs w:val="24"/>
        </w:rPr>
        <w:t xml:space="preserve">Rešenje iz prethodne stavke nam omogućava bolje testiranje trajanja obrade zahteva. Umesto da se ograničimo na 165 lokacija, možemo da testiramo performanse za mnogo veći broj lokacija. Testiranje je rađeno ručno. Na osnovu zaključka da je maksimalni broj lokacija u jednom zahtevu 165, dobijamo maksimalni inkrement. Broj zahteva koji se šalju API-u biće </w:t>
      </w:r>
      <w:r>
        <w:rPr>
          <w:b w:val="false"/>
          <w:bCs w:val="false"/>
          <w:i/>
          <w:iCs/>
          <w:sz w:val="24"/>
          <w:szCs w:val="24"/>
        </w:rPr>
        <w:t xml:space="preserve">ceil(location_number/increment). </w:t>
      </w:r>
      <w:r>
        <w:rPr>
          <w:b w:val="false"/>
          <w:bCs w:val="false"/>
          <w:i w:val="false"/>
          <w:iCs w:val="false"/>
          <w:sz w:val="24"/>
          <w:szCs w:val="24"/>
        </w:rPr>
        <w:t xml:space="preserve">U tabeli ispod ovog teksta dat je prikaz trajanja celokupnog procesa obrade zahteva (u milisekundama). Može se primetiti da nema velikog odstupanja pri porastu broja lokacija (ukoliko ima preko 600 lokacija), pa možemo da ‘‘pogađamo’’ I neke druge vrednosti. Na primer, recimo za 50 000 lokacija bi po ovoj računici proces trajao 1 minut, za 200 000 4m… </w:t>
      </w:r>
      <w:r>
        <w:rPr>
          <w:b w:val="false"/>
          <w:bCs w:val="false"/>
          <w:i w:val="false"/>
          <w:iCs w:val="false"/>
          <w:sz w:val="24"/>
          <w:szCs w:val="24"/>
          <w:lang w:val="sr-Latn-RS"/>
        </w:rPr>
        <w:t>U kolonama Test n prikazano je trajanje zahteva pri korišćenju OSRM API-a (API koji se trenutno koristi), dok je u koloni Prosek OSRM API prikazan prosek tih testova. Kolona Predviđeno Directions API označava približno vreme koje bi bilo potrebno za jedan korisnički zahtev da smo nastavili da koristimo isti API.</w:t>
      </w:r>
    </w:p>
    <w:p>
      <w:pPr>
        <w:pStyle w:val="TextBody"/>
        <w:rPr>
          <w:b w:val="false"/>
          <w:b w:val="false"/>
          <w:bCs w:val="false"/>
          <w:sz w:val="24"/>
          <w:szCs w:val="24"/>
        </w:rPr>
      </w:pPr>
      <w:r>
        <w:rPr>
          <w:b w:val="false"/>
          <w:bCs w:val="false"/>
          <w:sz w:val="24"/>
          <w:szCs w:val="24"/>
        </w:rPr>
      </w:r>
    </w:p>
    <w:tbl>
      <w:tblPr>
        <w:tblW w:w="9916" w:type="dxa"/>
        <w:jc w:val="left"/>
        <w:tblInd w:w="77" w:type="dxa"/>
        <w:tblCellMar>
          <w:top w:w="0" w:type="dxa"/>
          <w:left w:w="0" w:type="dxa"/>
          <w:bottom w:w="0" w:type="dxa"/>
          <w:right w:w="0" w:type="dxa"/>
        </w:tblCellMar>
      </w:tblPr>
      <w:tblGrid>
        <w:gridCol w:w="1167"/>
        <w:gridCol w:w="1001"/>
        <w:gridCol w:w="996"/>
        <w:gridCol w:w="904"/>
        <w:gridCol w:w="895"/>
        <w:gridCol w:w="995"/>
        <w:gridCol w:w="1527"/>
        <w:gridCol w:w="2429"/>
      </w:tblGrid>
      <w:tr>
        <w:trPr>
          <w:trHeight w:val="540" w:hRule="atLeast"/>
        </w:trPr>
        <w:tc>
          <w:tcPr>
            <w:tcW w:w="1167" w:type="dxa"/>
            <w:tcBorders/>
            <w:shd w:fill="000000" w:val="clear"/>
          </w:tcPr>
          <w:p>
            <w:pPr>
              <w:pStyle w:val="TableContents"/>
              <w:bidi w:val="0"/>
              <w:jc w:val="left"/>
              <w:rPr>
                <w:sz w:val="20"/>
                <w:szCs w:val="20"/>
              </w:rPr>
            </w:pPr>
            <w:r>
              <w:rPr>
                <w:sz w:val="20"/>
                <w:szCs w:val="20"/>
              </w:rPr>
              <w:t>Broj lokacija</w:t>
            </w:r>
          </w:p>
        </w:tc>
        <w:tc>
          <w:tcPr>
            <w:tcW w:w="1001" w:type="dxa"/>
            <w:tcBorders/>
            <w:shd w:fill="000000" w:val="clear"/>
          </w:tcPr>
          <w:p>
            <w:pPr>
              <w:pStyle w:val="TableContents"/>
              <w:bidi w:val="0"/>
              <w:jc w:val="left"/>
              <w:rPr>
                <w:sz w:val="20"/>
                <w:szCs w:val="20"/>
              </w:rPr>
            </w:pPr>
            <w:r>
              <w:rPr>
                <w:sz w:val="20"/>
                <w:szCs w:val="20"/>
              </w:rPr>
              <w:t>Test 1</w:t>
            </w:r>
          </w:p>
        </w:tc>
        <w:tc>
          <w:tcPr>
            <w:tcW w:w="996" w:type="dxa"/>
            <w:tcBorders/>
            <w:shd w:fill="000000" w:val="clear"/>
          </w:tcPr>
          <w:p>
            <w:pPr>
              <w:pStyle w:val="TableContents"/>
              <w:bidi w:val="0"/>
              <w:jc w:val="left"/>
              <w:rPr>
                <w:sz w:val="20"/>
                <w:szCs w:val="20"/>
              </w:rPr>
            </w:pPr>
            <w:r>
              <w:rPr>
                <w:sz w:val="20"/>
                <w:szCs w:val="20"/>
              </w:rPr>
              <w:t>Test 2</w:t>
            </w:r>
          </w:p>
        </w:tc>
        <w:tc>
          <w:tcPr>
            <w:tcW w:w="904" w:type="dxa"/>
            <w:tcBorders/>
            <w:shd w:fill="000000" w:val="clear"/>
          </w:tcPr>
          <w:p>
            <w:pPr>
              <w:pStyle w:val="TableContents"/>
              <w:bidi w:val="0"/>
              <w:jc w:val="left"/>
              <w:rPr>
                <w:sz w:val="20"/>
                <w:szCs w:val="20"/>
              </w:rPr>
            </w:pPr>
            <w:r>
              <w:rPr>
                <w:sz w:val="20"/>
                <w:szCs w:val="20"/>
              </w:rPr>
              <w:t>Test 3</w:t>
            </w:r>
          </w:p>
        </w:tc>
        <w:tc>
          <w:tcPr>
            <w:tcW w:w="895" w:type="dxa"/>
            <w:tcBorders/>
            <w:shd w:fill="000000" w:val="clear"/>
          </w:tcPr>
          <w:p>
            <w:pPr>
              <w:pStyle w:val="TableContents"/>
              <w:bidi w:val="0"/>
              <w:jc w:val="left"/>
              <w:rPr>
                <w:sz w:val="20"/>
                <w:szCs w:val="20"/>
              </w:rPr>
            </w:pPr>
            <w:r>
              <w:rPr>
                <w:sz w:val="20"/>
                <w:szCs w:val="20"/>
              </w:rPr>
              <w:t>Test 4</w:t>
            </w:r>
          </w:p>
        </w:tc>
        <w:tc>
          <w:tcPr>
            <w:tcW w:w="995" w:type="dxa"/>
            <w:tcBorders/>
            <w:shd w:fill="000000" w:val="clear"/>
          </w:tcPr>
          <w:p>
            <w:pPr>
              <w:pStyle w:val="TableContents"/>
              <w:bidi w:val="0"/>
              <w:jc w:val="left"/>
              <w:rPr>
                <w:sz w:val="20"/>
                <w:szCs w:val="20"/>
              </w:rPr>
            </w:pPr>
            <w:r>
              <w:rPr>
                <w:sz w:val="20"/>
                <w:szCs w:val="20"/>
              </w:rPr>
              <w:t>Test 5</w:t>
            </w:r>
          </w:p>
        </w:tc>
        <w:tc>
          <w:tcPr>
            <w:tcW w:w="1527" w:type="dxa"/>
            <w:tcBorders/>
            <w:shd w:fill="000000" w:val="clear"/>
          </w:tcPr>
          <w:p>
            <w:pPr>
              <w:pStyle w:val="TableContents"/>
              <w:bidi w:val="0"/>
              <w:jc w:val="left"/>
              <w:rPr>
                <w:sz w:val="20"/>
                <w:szCs w:val="20"/>
              </w:rPr>
            </w:pPr>
            <w:r>
              <w:rPr>
                <w:sz w:val="20"/>
                <w:szCs w:val="20"/>
              </w:rPr>
              <w:t>Prosek OSRM API</w:t>
            </w:r>
          </w:p>
        </w:tc>
        <w:tc>
          <w:tcPr>
            <w:tcW w:w="2429" w:type="dxa"/>
            <w:tcBorders/>
            <w:shd w:fill="000000" w:val="clear"/>
          </w:tcPr>
          <w:p>
            <w:pPr>
              <w:pStyle w:val="TableContents"/>
              <w:bidi w:val="0"/>
              <w:jc w:val="left"/>
              <w:rPr>
                <w:sz w:val="20"/>
                <w:szCs w:val="20"/>
              </w:rPr>
            </w:pPr>
            <w:r>
              <w:rPr>
                <w:sz w:val="20"/>
                <w:szCs w:val="20"/>
              </w:rPr>
              <w:t>Predviđeno Directions API</w:t>
            </w:r>
          </w:p>
        </w:tc>
      </w:tr>
      <w:tr>
        <w:trPr>
          <w:trHeight w:val="266" w:hRule="atLeast"/>
        </w:trPr>
        <w:tc>
          <w:tcPr>
            <w:tcW w:w="1167"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w:t>
            </w:r>
          </w:p>
        </w:tc>
        <w:tc>
          <w:tcPr>
            <w:tcW w:w="1001"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194.351</w:t>
              <w:br/>
            </w:r>
          </w:p>
        </w:tc>
        <w:tc>
          <w:tcPr>
            <w:tcW w:w="996"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138.090</w:t>
            </w:r>
          </w:p>
        </w:tc>
        <w:tc>
          <w:tcPr>
            <w:tcW w:w="904"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253.323</w:t>
            </w:r>
          </w:p>
        </w:tc>
        <w:tc>
          <w:tcPr>
            <w:tcW w:w="895"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201.660</w:t>
            </w:r>
          </w:p>
        </w:tc>
        <w:tc>
          <w:tcPr>
            <w:tcW w:w="995"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196.126</w:t>
            </w:r>
          </w:p>
        </w:tc>
        <w:tc>
          <w:tcPr>
            <w:tcW w:w="1527" w:type="dxa"/>
            <w:tcBorders/>
          </w:tcPr>
          <w:p>
            <w:pPr>
              <w:pStyle w:val="TableContents"/>
              <w:bidi w:val="0"/>
              <w:jc w:val="center"/>
              <w:rPr>
                <w:sz w:val="22"/>
                <w:szCs w:val="22"/>
              </w:rPr>
            </w:pPr>
            <w:r>
              <w:rPr>
                <w:b w:val="false"/>
                <w:bCs w:val="false"/>
                <w:i w:val="false"/>
                <w:iCs w:val="false"/>
                <w:strike w:val="false"/>
                <w:dstrike w:val="false"/>
                <w:outline w:val="false"/>
                <w:shadow w:val="false"/>
                <w:color w:val="000000"/>
                <w:sz w:val="22"/>
                <w:szCs w:val="22"/>
                <w:u w:val="none"/>
              </w:rPr>
              <w:t>196.708‬</w:t>
            </w:r>
          </w:p>
        </w:tc>
        <w:tc>
          <w:tcPr>
            <w:tcW w:w="2429" w:type="dxa"/>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200</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67" w:type="dxa"/>
            <w:tcBorders/>
          </w:tcPr>
          <w:p>
            <w:pPr>
              <w:pStyle w:val="TableContents"/>
              <w:bidi w:val="0"/>
              <w:jc w:val="center"/>
              <w:rPr>
                <w:sz w:val="22"/>
                <w:szCs w:val="22"/>
              </w:rPr>
            </w:pPr>
            <w:r>
              <w:rPr>
                <w:sz w:val="22"/>
                <w:szCs w:val="22"/>
              </w:rPr>
              <w:t>601</w:t>
            </w:r>
          </w:p>
        </w:tc>
        <w:tc>
          <w:tcPr>
            <w:tcW w:w="1001" w:type="dxa"/>
            <w:tcBorders/>
          </w:tcPr>
          <w:p>
            <w:pPr>
              <w:pStyle w:val="TableContents"/>
              <w:bidi w:val="0"/>
              <w:jc w:val="center"/>
              <w:rPr>
                <w:sz w:val="22"/>
                <w:szCs w:val="22"/>
              </w:rPr>
            </w:pPr>
            <w:r>
              <w:rPr>
                <w:sz w:val="22"/>
                <w:szCs w:val="22"/>
              </w:rPr>
              <w:t>865.39</w:t>
            </w:r>
          </w:p>
        </w:tc>
        <w:tc>
          <w:tcPr>
            <w:tcW w:w="996" w:type="dxa"/>
            <w:tcBorders/>
          </w:tcPr>
          <w:p>
            <w:pPr>
              <w:pStyle w:val="TableContents"/>
              <w:bidi w:val="0"/>
              <w:jc w:val="center"/>
              <w:rPr>
                <w:sz w:val="22"/>
                <w:szCs w:val="22"/>
              </w:rPr>
            </w:pPr>
            <w:r>
              <w:rPr>
                <w:sz w:val="22"/>
                <w:szCs w:val="22"/>
              </w:rPr>
              <w:t>1097.33</w:t>
            </w:r>
          </w:p>
        </w:tc>
        <w:tc>
          <w:tcPr>
            <w:tcW w:w="904" w:type="dxa"/>
            <w:tcBorders/>
          </w:tcPr>
          <w:p>
            <w:pPr>
              <w:pStyle w:val="TableContents"/>
              <w:bidi w:val="0"/>
              <w:jc w:val="center"/>
              <w:rPr>
                <w:sz w:val="22"/>
                <w:szCs w:val="22"/>
              </w:rPr>
            </w:pPr>
            <w:r>
              <w:rPr>
                <w:sz w:val="22"/>
                <w:szCs w:val="22"/>
              </w:rPr>
              <w:t>993.624</w:t>
            </w:r>
          </w:p>
        </w:tc>
        <w:tc>
          <w:tcPr>
            <w:tcW w:w="895" w:type="dxa"/>
            <w:tcBorders/>
          </w:tcPr>
          <w:p>
            <w:pPr>
              <w:pStyle w:val="TableContents"/>
              <w:bidi w:val="0"/>
              <w:jc w:val="center"/>
              <w:rPr>
                <w:sz w:val="22"/>
                <w:szCs w:val="22"/>
              </w:rPr>
            </w:pPr>
            <w:r>
              <w:rPr>
                <w:sz w:val="22"/>
                <w:szCs w:val="22"/>
              </w:rPr>
              <w:t>879.857</w:t>
            </w:r>
          </w:p>
        </w:tc>
        <w:tc>
          <w:tcPr>
            <w:tcW w:w="995" w:type="dxa"/>
            <w:tcBorders/>
          </w:tcPr>
          <w:p>
            <w:pPr>
              <w:pStyle w:val="TableContents"/>
              <w:bidi w:val="0"/>
              <w:jc w:val="center"/>
              <w:rPr>
                <w:sz w:val="22"/>
                <w:szCs w:val="22"/>
              </w:rPr>
            </w:pPr>
            <w:r>
              <w:rPr>
                <w:sz w:val="22"/>
                <w:szCs w:val="22"/>
              </w:rPr>
              <w:t>960.296</w:t>
            </w:r>
          </w:p>
        </w:tc>
        <w:tc>
          <w:tcPr>
            <w:tcW w:w="1527" w:type="dxa"/>
            <w:tcBorders/>
          </w:tcPr>
          <w:p>
            <w:pPr>
              <w:pStyle w:val="TableContents"/>
              <w:bidi w:val="0"/>
              <w:jc w:val="center"/>
              <w:rPr>
                <w:sz w:val="22"/>
                <w:szCs w:val="22"/>
              </w:rPr>
            </w:pPr>
            <w:r>
              <w:rPr>
                <w:sz w:val="22"/>
                <w:szCs w:val="22"/>
              </w:rPr>
              <w:t>959.310</w:t>
            </w:r>
          </w:p>
        </w:tc>
        <w:tc>
          <w:tcPr>
            <w:tcW w:w="2429" w:type="dxa"/>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601 000 (~10min)</w:t>
            </w:r>
          </w:p>
        </w:tc>
      </w:tr>
      <w:tr>
        <w:trPr/>
        <w:tc>
          <w:tcPr>
            <w:tcW w:w="1167" w:type="dxa"/>
            <w:tcBorders/>
          </w:tcPr>
          <w:p>
            <w:pPr>
              <w:pStyle w:val="TableContents"/>
              <w:bidi w:val="0"/>
              <w:jc w:val="center"/>
              <w:rPr>
                <w:sz w:val="22"/>
                <w:szCs w:val="22"/>
              </w:rPr>
            </w:pPr>
            <w:r>
              <w:rPr>
                <w:sz w:val="22"/>
                <w:szCs w:val="22"/>
              </w:rPr>
              <w:t>901</w:t>
            </w:r>
          </w:p>
        </w:tc>
        <w:tc>
          <w:tcPr>
            <w:tcW w:w="1001" w:type="dxa"/>
            <w:tcBorders/>
          </w:tcPr>
          <w:p>
            <w:pPr>
              <w:pStyle w:val="TableContents"/>
              <w:bidi w:val="0"/>
              <w:jc w:val="center"/>
              <w:rPr>
                <w:sz w:val="22"/>
                <w:szCs w:val="22"/>
              </w:rPr>
            </w:pPr>
            <w:r>
              <w:rPr>
                <w:sz w:val="22"/>
                <w:szCs w:val="22"/>
              </w:rPr>
              <w:t>1248.99</w:t>
            </w:r>
          </w:p>
        </w:tc>
        <w:tc>
          <w:tcPr>
            <w:tcW w:w="996" w:type="dxa"/>
            <w:tcBorders/>
          </w:tcPr>
          <w:p>
            <w:pPr>
              <w:pStyle w:val="TableContents"/>
              <w:bidi w:val="0"/>
              <w:jc w:val="center"/>
              <w:rPr>
                <w:sz w:val="22"/>
                <w:szCs w:val="22"/>
              </w:rPr>
            </w:pPr>
            <w:r>
              <w:rPr>
                <w:sz w:val="22"/>
                <w:szCs w:val="22"/>
              </w:rPr>
              <w:t>1452.17</w:t>
            </w:r>
          </w:p>
        </w:tc>
        <w:tc>
          <w:tcPr>
            <w:tcW w:w="904" w:type="dxa"/>
            <w:tcBorders/>
          </w:tcPr>
          <w:p>
            <w:pPr>
              <w:pStyle w:val="TableContents"/>
              <w:bidi w:val="0"/>
              <w:jc w:val="center"/>
              <w:rPr>
                <w:sz w:val="22"/>
                <w:szCs w:val="22"/>
              </w:rPr>
            </w:pPr>
            <w:r>
              <w:rPr>
                <w:sz w:val="22"/>
                <w:szCs w:val="22"/>
              </w:rPr>
              <w:t>1371.94</w:t>
            </w:r>
          </w:p>
        </w:tc>
        <w:tc>
          <w:tcPr>
            <w:tcW w:w="895" w:type="dxa"/>
            <w:tcBorders/>
          </w:tcPr>
          <w:p>
            <w:pPr>
              <w:pStyle w:val="TableContents"/>
              <w:bidi w:val="0"/>
              <w:jc w:val="center"/>
              <w:rPr>
                <w:sz w:val="22"/>
                <w:szCs w:val="22"/>
              </w:rPr>
            </w:pPr>
            <w:r>
              <w:rPr>
                <w:sz w:val="22"/>
                <w:szCs w:val="22"/>
              </w:rPr>
              <w:t>1435.44</w:t>
            </w:r>
          </w:p>
        </w:tc>
        <w:tc>
          <w:tcPr>
            <w:tcW w:w="995" w:type="dxa"/>
            <w:tcBorders/>
          </w:tcPr>
          <w:p>
            <w:pPr>
              <w:pStyle w:val="TableContents"/>
              <w:bidi w:val="0"/>
              <w:jc w:val="center"/>
              <w:rPr>
                <w:sz w:val="22"/>
                <w:szCs w:val="22"/>
              </w:rPr>
            </w:pPr>
            <w:r>
              <w:rPr>
                <w:sz w:val="22"/>
                <w:szCs w:val="22"/>
              </w:rPr>
              <w:t>1244.07</w:t>
            </w:r>
          </w:p>
        </w:tc>
        <w:tc>
          <w:tcPr>
            <w:tcW w:w="1527" w:type="dxa"/>
            <w:tcBorders/>
          </w:tcPr>
          <w:p>
            <w:pPr>
              <w:pStyle w:val="TableContents"/>
              <w:bidi w:val="0"/>
              <w:jc w:val="center"/>
              <w:rPr>
                <w:sz w:val="22"/>
                <w:szCs w:val="22"/>
              </w:rPr>
            </w:pPr>
            <w:r>
              <w:rPr>
                <w:sz w:val="22"/>
                <w:szCs w:val="22"/>
              </w:rPr>
              <w:t>1350.522</w:t>
            </w:r>
          </w:p>
        </w:tc>
        <w:tc>
          <w:tcPr>
            <w:tcW w:w="2429" w:type="dxa"/>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901 000 (~15min)</w:t>
            </w:r>
          </w:p>
        </w:tc>
      </w:tr>
      <w:tr>
        <w:trPr>
          <w:trHeight w:val="312" w:hRule="atLeast"/>
        </w:trPr>
        <w:tc>
          <w:tcPr>
            <w:tcW w:w="1167" w:type="dxa"/>
            <w:tcBorders>
              <w:bottom w:val="single" w:sz="6" w:space="0" w:color="000000"/>
            </w:tcBorders>
          </w:tcPr>
          <w:p>
            <w:pPr>
              <w:pStyle w:val="TableContents"/>
              <w:bidi w:val="0"/>
              <w:jc w:val="center"/>
              <w:rPr>
                <w:sz w:val="22"/>
                <w:szCs w:val="22"/>
              </w:rPr>
            </w:pPr>
            <w:r>
              <w:rPr>
                <w:sz w:val="22"/>
                <w:szCs w:val="22"/>
              </w:rPr>
              <w:t>2059</w:t>
            </w:r>
          </w:p>
        </w:tc>
        <w:tc>
          <w:tcPr>
            <w:tcW w:w="1001" w:type="dxa"/>
            <w:tcBorders>
              <w:bottom w:val="single" w:sz="6" w:space="0" w:color="000000"/>
            </w:tcBorders>
          </w:tcPr>
          <w:p>
            <w:pPr>
              <w:pStyle w:val="TableContents"/>
              <w:bidi w:val="0"/>
              <w:jc w:val="center"/>
              <w:rPr>
                <w:sz w:val="22"/>
                <w:szCs w:val="22"/>
              </w:rPr>
            </w:pPr>
            <w:r>
              <w:rPr>
                <w:sz w:val="22"/>
                <w:szCs w:val="22"/>
              </w:rPr>
              <w:t>2739.269</w:t>
            </w:r>
          </w:p>
        </w:tc>
        <w:tc>
          <w:tcPr>
            <w:tcW w:w="996" w:type="dxa"/>
            <w:tcBorders>
              <w:bottom w:val="single" w:sz="6" w:space="0" w:color="000000"/>
            </w:tcBorders>
          </w:tcPr>
          <w:p>
            <w:pPr>
              <w:pStyle w:val="TableContents"/>
              <w:bidi w:val="0"/>
              <w:jc w:val="center"/>
              <w:rPr>
                <w:sz w:val="22"/>
                <w:szCs w:val="22"/>
              </w:rPr>
            </w:pPr>
            <w:r>
              <w:rPr>
                <w:sz w:val="22"/>
                <w:szCs w:val="22"/>
              </w:rPr>
              <w:t>2632.16</w:t>
            </w:r>
          </w:p>
        </w:tc>
        <w:tc>
          <w:tcPr>
            <w:tcW w:w="904" w:type="dxa"/>
            <w:tcBorders>
              <w:bottom w:val="single" w:sz="6" w:space="0" w:color="000000"/>
            </w:tcBorders>
          </w:tcPr>
          <w:p>
            <w:pPr>
              <w:pStyle w:val="TableContents"/>
              <w:bidi w:val="0"/>
              <w:jc w:val="center"/>
              <w:rPr>
                <w:sz w:val="22"/>
                <w:szCs w:val="22"/>
              </w:rPr>
            </w:pPr>
            <w:r>
              <w:rPr>
                <w:sz w:val="22"/>
                <w:szCs w:val="22"/>
              </w:rPr>
              <w:t>2790.13</w:t>
            </w:r>
          </w:p>
        </w:tc>
        <w:tc>
          <w:tcPr>
            <w:tcW w:w="895" w:type="dxa"/>
            <w:tcBorders>
              <w:bottom w:val="single" w:sz="6" w:space="0" w:color="000000"/>
            </w:tcBorders>
          </w:tcPr>
          <w:p>
            <w:pPr>
              <w:pStyle w:val="TableContents"/>
              <w:bidi w:val="0"/>
              <w:jc w:val="center"/>
              <w:rPr>
                <w:sz w:val="22"/>
                <w:szCs w:val="22"/>
              </w:rPr>
            </w:pPr>
            <w:r>
              <w:rPr>
                <w:sz w:val="22"/>
                <w:szCs w:val="22"/>
              </w:rPr>
              <w:t>2687.78</w:t>
            </w:r>
          </w:p>
        </w:tc>
        <w:tc>
          <w:tcPr>
            <w:tcW w:w="995" w:type="dxa"/>
            <w:tcBorders>
              <w:bottom w:val="single" w:sz="6" w:space="0" w:color="000000"/>
            </w:tcBorders>
          </w:tcPr>
          <w:p>
            <w:pPr>
              <w:pStyle w:val="TableContents"/>
              <w:bidi w:val="0"/>
              <w:jc w:val="center"/>
              <w:rPr>
                <w:sz w:val="22"/>
                <w:szCs w:val="22"/>
              </w:rPr>
            </w:pPr>
            <w:r>
              <w:rPr>
                <w:sz w:val="22"/>
                <w:szCs w:val="22"/>
              </w:rPr>
              <w:t>2838.86</w:t>
            </w:r>
          </w:p>
        </w:tc>
        <w:tc>
          <w:tcPr>
            <w:tcW w:w="1527" w:type="dxa"/>
            <w:tcBorders>
              <w:bottom w:val="single" w:sz="6" w:space="0" w:color="000000"/>
            </w:tcBorders>
          </w:tcPr>
          <w:p>
            <w:pPr>
              <w:pStyle w:val="TableContents"/>
              <w:bidi w:val="0"/>
              <w:jc w:val="center"/>
              <w:rPr>
                <w:sz w:val="22"/>
                <w:szCs w:val="22"/>
              </w:rPr>
            </w:pPr>
            <w:r>
              <w:rPr>
                <w:sz w:val="22"/>
                <w:szCs w:val="22"/>
              </w:rPr>
              <w:t>2737.640</w:t>
            </w:r>
          </w:p>
        </w:tc>
        <w:tc>
          <w:tcPr>
            <w:tcW w:w="2429" w:type="dxa"/>
            <w:tcBorders>
              <w:bottom w:val="single" w:sz="6"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lang w:val="sr-Latn-RS"/>
              </w:rPr>
              <w:t>2 059 000</w:t>
            </w:r>
            <w:r>
              <w:rPr>
                <w:b w:val="false"/>
                <w:bCs w:val="false"/>
                <w:i w:val="false"/>
                <w:iCs w:val="false"/>
                <w:strike w:val="false"/>
                <w:dstrike w:val="false"/>
                <w:outline w:val="false"/>
                <w:shadow w:val="false"/>
                <w:color w:val="000000"/>
                <w:sz w:val="22"/>
                <w:szCs w:val="22"/>
                <w:u w:val="none"/>
              </w:rPr>
              <w:t xml:space="preserve">  (~34min)</w:t>
            </w:r>
          </w:p>
        </w:tc>
      </w:tr>
    </w:tbl>
    <w:p>
      <w:pPr>
        <w:pStyle w:val="Normal"/>
        <w:bidi w:val="0"/>
        <w:jc w:val="center"/>
        <w:rPr/>
      </w:pPr>
      <w:r>
        <w:rPr/>
      </w:r>
    </w:p>
    <w:p>
      <w:pPr>
        <w:pStyle w:val="Normal"/>
        <w:bidi w:val="0"/>
        <w:jc w:val="center"/>
        <w:rPr/>
      </w:pPr>
      <w:r>
        <w:rPr>
          <w:b/>
          <w:bCs/>
        </w:rPr>
        <w:t>Tabela 1.</w:t>
      </w:r>
      <w:r>
        <w:rPr/>
        <w:t xml:space="preserve"> Performanse pretrage najbliže lokacije</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lang w:val="sr-Latn-RS"/>
        </w:rPr>
      </w:pPr>
      <w:r>
        <w:rPr>
          <w:lang w:val="sr-Latn-RS"/>
        </w:rPr>
      </w:r>
    </w:p>
    <w:p>
      <w:pPr>
        <w:pStyle w:val="Normal"/>
        <w:bidi w:val="0"/>
        <w:jc w:val="left"/>
        <w:rPr>
          <w:lang w:val="sr-Latn-RS"/>
        </w:rPr>
      </w:pPr>
      <w:r>
        <w:rPr>
          <w:lang w:val="sr-Latn-RS"/>
        </w:rPr>
      </w:r>
    </w:p>
    <w:p>
      <w:pPr>
        <w:pStyle w:val="Normal"/>
        <w:bidi w:val="0"/>
        <w:jc w:val="left"/>
        <w:rPr>
          <w:lang w:val="sr-Latn-R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LibreOffice/6.4.4.2$Windows_x86 LibreOffice_project/3d775be2011f3886db32dfd395a6a6d1ca2630ff</Application>
  <Pages>5</Pages>
  <Words>418</Words>
  <Characters>2424</Characters>
  <CharactersWithSpaces>2791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2020-06-06T13:59:59Z</dcterms:created>
  <dc:creator/>
  <dc:description/>
  <dc:language>en-US</dc:language>
  <cp:lastModifiedBy/>
  <dcterms:modified xsi:type="dcterms:W3CDTF">2020-06-08T17:50:02Z</dcterms:modified>
  <cp:revision>102</cp:revision>
  <dc:subject/>
  <dc:title/>
</cp:coreProperties>
</file>