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ptos Display" w:hAnsi="Aptos Display"/>
          <w:b/>
          <w:color w:val="0B1B2B"/>
          <w:sz w:val="56"/>
        </w:rPr>
        <w:t>KISSFLOW CUSTOM UI</w:t>
      </w:r>
    </w:p>
    <w:p>
      <w:pPr>
        <w:spacing w:after="160"/>
      </w:pPr>
      <w:r>
        <w:rPr>
          <w:rFonts w:ascii="Aptos Display" w:hAnsi="Aptos Display"/>
          <w:b/>
          <w:color w:val="0B1B2B"/>
          <w:sz w:val="56"/>
        </w:rPr>
        <w:t>INTEGRATION GUIDE</w:t>
      </w:r>
    </w:p>
    <w:p>
      <w:pPr>
        <w:spacing w:after="240"/>
      </w:pPr>
      <w:r>
        <w:rPr>
          <w:b/>
          <w:color w:val="11998E"/>
          <w:sz w:val="26"/>
        </w:rPr>
        <w:t>A short, generic pattern for responsive Web, iPad and Mobile applications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6F4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11998E"/>
                <w:sz w:val="18"/>
              </w:rPr>
              <w:t>CORE PRINCIPLE</w:t>
            </w:r>
          </w:p>
          <w:p>
            <w:pPr>
              <w:spacing w:after="0"/>
            </w:pPr>
            <w:r>
              <w:rPr>
                <w:color w:val="0B1B2B"/>
                <w:sz w:val="18"/>
              </w:rPr>
              <w:t>Keep Kissflow as the workflow and business-data backend. Build the user experience as a responsive custom UI. Put all Kissflow API calls behind a secure server-side integration layer.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76"/>
      </w:tblGrid>
      <w:tr>
        <w:trPr>
          <w:cantSplit/>
        </w:trPr>
        <w:tc>
          <w:tcPr>
            <w:tcW w:type="dxa" w:w="5227"/>
            <w:shd w:fill="11998E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8"/>
              </w:rPr>
              <w:t>01</w:t>
            </w:r>
          </w:p>
        </w:tc>
        <w:tc>
          <w:tcPr>
            <w:tcW w:type="dxa" w:w="5227"/>
            <w:shd w:fill="0B1B2B"/>
          </w:tcPr>
          <w:p>
            <w:pPr>
              <w:spacing w:after="0"/>
            </w:pPr>
            <w:r>
              <w:rPr>
                <w:rFonts w:ascii="Aptos Display" w:hAnsi="Aptos Display"/>
                <w:b/>
                <w:color w:val="FFFFFF"/>
                <w:sz w:val="30"/>
              </w:rPr>
              <w:t>ARCHITECTURE IN ONE PAGE</w:t>
            </w:r>
          </w:p>
          <w:p>
            <w:pPr>
              <w:spacing w:after="0"/>
            </w:pPr>
            <w:r>
              <w:rPr>
                <w:rFonts w:ascii="Aptos" w:hAnsi="Aptos"/>
                <w:color w:val="C6D2DD"/>
                <w:sz w:val="17"/>
              </w:rPr>
              <w:t>What each layer owns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EF3F8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0B1B2B"/>
                <w:sz w:val="22"/>
              </w:rPr>
              <w:t>CUSTOM UI</w:t>
            </w:r>
          </w:p>
          <w:p>
            <w:pPr>
              <w:spacing w:after="0"/>
            </w:pPr>
            <w:r>
              <w:rPr>
                <w:sz w:val="18"/>
              </w:rPr>
              <w:t>Responsive screens, navigation, validation, cards, tables, device-specific layout and user interaction.</w:t>
            </w:r>
          </w:p>
        </w:tc>
      </w:tr>
      <w:tr>
        <w:trPr>
          <w:cantSplit/>
        </w:trPr>
        <w:tc>
          <w:tcPr>
            <w:tcW w:type="dxa" w:w="10454"/>
            <w:shd w:fill="EAF6F4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0B1B2B"/>
                <w:sz w:val="22"/>
              </w:rPr>
              <w:t>SERVER / BFF</w:t>
            </w:r>
          </w:p>
          <w:p>
            <w:pPr>
              <w:spacing w:after="0"/>
            </w:pPr>
            <w:r>
              <w:rPr>
                <w:sz w:val="18"/>
              </w:rPr>
              <w:t>Authenticates requests, maps UI fields to Kissflow fields, calls Kissflow APIs, normalises responses and protects credentials.</w:t>
            </w:r>
          </w:p>
        </w:tc>
      </w:tr>
      <w:tr>
        <w:trPr>
          <w:cantSplit/>
        </w:trPr>
        <w:tc>
          <w:tcPr>
            <w:tcW w:type="dxa" w:w="10454"/>
            <w:shd w:fill="FFF4D6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0B1B2B"/>
                <w:sz w:val="22"/>
              </w:rPr>
              <w:t>KISSFLOW</w:t>
            </w:r>
          </w:p>
          <w:p>
            <w:pPr>
              <w:spacing w:after="0"/>
            </w:pPr>
            <w:r>
              <w:rPr>
                <w:sz w:val="18"/>
              </w:rPr>
              <w:t>Forms/processes, workflow state, approvals, business identifiers, audit trail and authoritative business records.</w:t>
            </w:r>
          </w:p>
        </w:tc>
      </w:tr>
    </w:tbl>
    <w:p/>
    <w:p>
      <w:pPr>
        <w:spacing w:after="60"/>
      </w:pPr>
      <w:r>
        <w:rPr>
          <w:b/>
          <w:color w:val="11998E"/>
          <w:sz w:val="22"/>
        </w:rPr>
        <w:t>Request path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"/>
              <w:spacing w:after="0"/>
            </w:pPr>
            <w:r>
              <w:rPr>
                <w:rFonts w:ascii="Courier New" w:hAnsi="Courier New"/>
                <w:color w:val="0B1B2B"/>
                <w:sz w:val="16"/>
              </w:rPr>
              <w:t>Browser / Custom UI</w:t>
            </w:r>
            <w:r>
              <w:br/>
            </w:r>
            <w:r>
              <w:rPr>
                <w:rFonts w:ascii="Courier New" w:hAnsi="Courier New"/>
                <w:color w:val="0B1B2B"/>
                <w:sz w:val="16"/>
              </w:rPr>
              <w:t xml:space="preserve">        ↓ HTTPS</w:t>
            </w:r>
            <w:r>
              <w:br/>
            </w:r>
            <w:r>
              <w:rPr>
                <w:rFonts w:ascii="Courier New" w:hAnsi="Courier New"/>
                <w:color w:val="0B1B2B"/>
                <w:sz w:val="16"/>
              </w:rPr>
              <w:t>Server / BFF</w:t>
            </w:r>
            <w:r>
              <w:br/>
            </w:r>
            <w:r>
              <w:rPr>
                <w:rFonts w:ascii="Courier New" w:hAnsi="Courier New"/>
                <w:color w:val="0B1B2B"/>
                <w:sz w:val="16"/>
              </w:rPr>
              <w:t xml:space="preserve">        ↓ Kissflow REST API</w:t>
            </w:r>
            <w:r>
              <w:br/>
            </w:r>
            <w:r>
              <w:rPr>
                <w:rFonts w:ascii="Courier New" w:hAnsi="Courier New"/>
                <w:color w:val="0B1B2B"/>
                <w:sz w:val="16"/>
              </w:rPr>
              <w:t>Kissflow Process / Form / Workflow</w:t>
            </w:r>
          </w:p>
        </w:tc>
      </w:tr>
    </w:tbl>
    <w:p>
      <w:pPr>
        <w:spacing w:after="0"/>
      </w:pPr>
    </w:p>
    <w:p>
      <w:pPr>
        <w:spacing w:after="0"/>
      </w:pPr>
      <w:r>
        <w:rPr>
          <w:b/>
          <w:color w:val="0B1B2B"/>
        </w:rPr>
        <w:t xml:space="preserve">Rule: </w:t>
      </w:r>
      <w:r>
        <w:rPr>
          <w:sz w:val="19"/>
        </w:rPr>
        <w:t>the browser never receives Kissflow API credentials and does not call privileged Kissflow endpoints directly.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76"/>
      </w:tblGrid>
      <w:tr>
        <w:trPr>
          <w:cantSplit/>
        </w:trPr>
        <w:tc>
          <w:tcPr>
            <w:tcW w:type="dxa" w:w="5227"/>
            <w:shd w:fill="11998E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8"/>
              </w:rPr>
              <w:t>02</w:t>
            </w:r>
          </w:p>
        </w:tc>
        <w:tc>
          <w:tcPr>
            <w:tcW w:type="dxa" w:w="5227"/>
            <w:shd w:fill="0B1B2B"/>
          </w:tcPr>
          <w:p>
            <w:pPr>
              <w:spacing w:after="0"/>
            </w:pPr>
            <w:r>
              <w:rPr>
                <w:rFonts w:ascii="Aptos Display" w:hAnsi="Aptos Display"/>
                <w:b/>
                <w:color w:val="FFFFFF"/>
                <w:sz w:val="30"/>
              </w:rPr>
              <w:t>CREATE, SUBMIT &amp; READ</w:t>
            </w:r>
          </w:p>
          <w:p>
            <w:pPr>
              <w:spacing w:after="0"/>
            </w:pPr>
            <w:r>
              <w:rPr>
                <w:rFonts w:ascii="Aptos" w:hAnsi="Aptos"/>
                <w:color w:val="C6D2DD"/>
                <w:sz w:val="17"/>
              </w:rPr>
              <w:t>Exact API sequence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6F4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11998E"/>
                <w:sz w:val="18"/>
              </w:rPr>
              <w:t>USE PLACEHOLDERS</w:t>
            </w:r>
          </w:p>
          <w:p>
            <w:pPr>
              <w:spacing w:after="0"/>
            </w:pPr>
            <w:r>
              <w:rPr>
                <w:color w:val="0B1B2B"/>
                <w:sz w:val="18"/>
              </w:rPr>
              <w:t>Replace {subdomain}, {account_id}, {process_id}, {instance_id} and {activity_instance_id} with the values for the target Kissflow application. Field IDs and response shapes must be verified in that environment.</w:t>
            </w:r>
          </w:p>
        </w:tc>
      </w:tr>
    </w:tbl>
    <w:p>
      <w:pPr>
        <w:spacing w:after="0"/>
      </w:pPr>
    </w:p>
    <w:p>
      <w:pPr>
        <w:pStyle w:val="Heading2"/>
      </w:pPr>
      <w:r>
        <w:t>A. Create a process item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"/>
              <w:spacing w:after="0"/>
            </w:pPr>
            <w:r>
              <w:rPr>
                <w:rFonts w:ascii="Courier New" w:hAnsi="Courier New"/>
                <w:color w:val="0B1B2B"/>
                <w:sz w:val="16"/>
              </w:rPr>
              <w:t>POST https://{subdomain}.kissflow.com/process/2/{account_id}/{process_id}</w:t>
            </w:r>
            <w:r>
              <w:br/>
            </w:r>
            <w:r>
              <w:rPr>
                <w:rFonts w:ascii="Courier New" w:hAnsi="Courier New"/>
                <w:color w:val="0B1B2B"/>
                <w:sz w:val="16"/>
              </w:rPr>
            </w:r>
            <w:r>
              <w:br/>
            </w:r>
            <w:r>
              <w:rPr>
                <w:rFonts w:ascii="Courier New" w:hAnsi="Courier New"/>
                <w:color w:val="0B1B2B"/>
                <w:sz w:val="16"/>
              </w:rPr>
              <w:t>Purpose: create the process item / draft using the mapped Kissflow form fields.</w:t>
            </w:r>
          </w:p>
        </w:tc>
      </w:tr>
    </w:tbl>
    <w:p>
      <w:pPr>
        <w:spacing w:after="0"/>
      </w:pPr>
    </w:p>
    <w:p>
      <w:pPr>
        <w:pStyle w:val="ListBullet"/>
        <w:spacing w:after="40"/>
        <w:ind w:left="0"/>
      </w:pPr>
      <w:r>
        <w:rPr>
          <w:sz w:val="19"/>
        </w:rPr>
        <w:t>Send the form-field payload from the server/BFF, not from the browser directly.</w:t>
      </w:r>
    </w:p>
    <w:p>
      <w:pPr>
        <w:pStyle w:val="ListBullet"/>
        <w:spacing w:after="40"/>
        <w:ind w:left="0"/>
      </w:pPr>
      <w:r>
        <w:rPr>
          <w:sz w:val="19"/>
        </w:rPr>
        <w:t>Capture the returned item/instance identifier and the current activity_instance_id required for submission.</w:t>
      </w:r>
    </w:p>
    <w:p>
      <w:pPr>
        <w:pStyle w:val="Heading2"/>
      </w:pPr>
      <w:r>
        <w:t>B. Submit the same item into workflow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"/>
              <w:spacing w:after="0"/>
            </w:pPr>
            <w:r>
              <w:rPr>
                <w:rFonts w:ascii="Courier New" w:hAnsi="Courier New"/>
                <w:color w:val="0B1B2B"/>
                <w:sz w:val="16"/>
              </w:rPr>
              <w:t>POST https://{subdomain}.kissflow.com/process/2/{account_id}/{process_id}/{instance_id}/{activity_instance_id}/submit</w:t>
            </w:r>
            <w:r>
              <w:br/>
            </w:r>
            <w:r>
              <w:rPr>
                <w:rFonts w:ascii="Courier New" w:hAnsi="Courier New"/>
                <w:color w:val="0B1B2B"/>
                <w:sz w:val="16"/>
              </w:rPr>
            </w:r>
            <w:r>
              <w:br/>
            </w:r>
            <w:r>
              <w:rPr>
                <w:rFonts w:ascii="Courier New" w:hAnsi="Courier New"/>
                <w:color w:val="0B1B2B"/>
                <w:sz w:val="16"/>
              </w:rPr>
              <w:t>Purpose: submit the created item so Kissflow workflow, formulas and generated business values execute.</w:t>
            </w:r>
          </w:p>
        </w:tc>
      </w:tr>
    </w:tbl>
    <w:p>
      <w:pPr>
        <w:spacing w:after="0"/>
      </w:pPr>
    </w:p>
    <w:p>
      <w:pPr>
        <w:pStyle w:val="ListBullet"/>
        <w:spacing w:after="40"/>
        <w:ind w:left="0"/>
      </w:pPr>
      <w:r>
        <w:rPr>
          <w:sz w:val="19"/>
        </w:rPr>
        <w:t>Do not create a second record for submit. Submit the same instance created in Step A.</w:t>
      </w:r>
    </w:p>
    <w:p>
      <w:pPr>
        <w:pStyle w:val="ListBullet"/>
        <w:spacing w:after="40"/>
        <w:ind w:left="0"/>
      </w:pPr>
      <w:r>
        <w:rPr>
          <w:sz w:val="19"/>
        </w:rPr>
        <w:t>Treat Kissflow-generated business identifiers/statuses as authoritative.</w:t>
      </w:r>
    </w:p>
    <w:p>
      <w:pPr>
        <w:pStyle w:val="Heading2"/>
      </w:pPr>
      <w:r>
        <w:t>C. Read/list items for the custom UI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"/>
              <w:spacing w:after="0"/>
            </w:pPr>
            <w:r>
              <w:rPr>
                <w:rFonts w:ascii="Courier New" w:hAnsi="Courier New"/>
                <w:color w:val="0B1B2B"/>
                <w:sz w:val="16"/>
              </w:rPr>
              <w:t>GET https://{subdomain}.kissflow.com/process/2/{account_id}/admin/{process_id}/item</w:t>
            </w:r>
            <w:r>
              <w:br/>
            </w:r>
            <w:r>
              <w:rPr>
                <w:rFonts w:ascii="Courier New" w:hAnsi="Courier New"/>
                <w:color w:val="0B1B2B"/>
                <w:sz w:val="16"/>
              </w:rPr>
              <w:t xml:space="preserve">    ?page_number=1&amp;page_size=100&amp;apply_preference=false</w:t>
            </w:r>
            <w:r>
              <w:br/>
            </w:r>
            <w:r>
              <w:rPr>
                <w:rFonts w:ascii="Courier New" w:hAnsi="Courier New"/>
                <w:color w:val="0B1B2B"/>
                <w:sz w:val="16"/>
              </w:rPr>
            </w:r>
            <w:r>
              <w:br/>
            </w:r>
            <w:r>
              <w:rPr>
                <w:rFonts w:ascii="Courier New" w:hAnsi="Courier New"/>
                <w:color w:val="0B1B2B"/>
                <w:sz w:val="16"/>
              </w:rPr>
              <w:t>Purpose: retrieve submitted process items for server-side projection into UI-friendly data.</w:t>
            </w:r>
          </w:p>
        </w:tc>
      </w:tr>
    </w:tbl>
    <w:p>
      <w:pPr>
        <w:spacing w:after="0"/>
      </w:pPr>
    </w:p>
    <w:p>
      <w:pPr>
        <w:pStyle w:val="ListBullet"/>
        <w:spacing w:after="40"/>
        <w:ind w:left="0"/>
      </w:pPr>
      <w:r>
        <w:rPr>
          <w:sz w:val="19"/>
        </w:rPr>
        <w:t>This Admin endpoint must remain server-side. Apply user/role/tenant scope before returning data to the browser.</w:t>
      </w:r>
    </w:p>
    <w:p>
      <w:pPr>
        <w:pStyle w:val="ListBullet"/>
        <w:spacing w:after="40"/>
        <w:ind w:left="0"/>
      </w:pPr>
      <w:r>
        <w:rPr>
          <w:sz w:val="19"/>
        </w:rPr>
        <w:t>For employee or role-specific screens, prefer a validated role-scoped endpoint when available; never expose all-items data without server-side authorization.</w:t>
      </w:r>
    </w:p>
    <w:p>
      <w:pPr>
        <w:pStyle w:val="Heading2"/>
      </w:pPr>
      <w:r>
        <w:t>Sequence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"/>
              <w:spacing w:after="0"/>
            </w:pPr>
            <w:r>
              <w:rPr>
                <w:rFonts w:ascii="Courier New" w:hAnsi="Courier New"/>
                <w:color w:val="0B1B2B"/>
                <w:sz w:val="16"/>
              </w:rPr>
              <w:t>1. Custom UI → POST /api/requests  (your BFF endpoint)</w:t>
            </w:r>
            <w:r>
              <w:br/>
            </w:r>
            <w:r>
              <w:rPr>
                <w:rFonts w:ascii="Courier New" w:hAnsi="Courier New"/>
                <w:color w:val="0B1B2B"/>
                <w:sz w:val="16"/>
              </w:rPr>
              <w:t>2. BFF → Kissflow CREATE API</w:t>
            </w:r>
            <w:r>
              <w:br/>
            </w:r>
            <w:r>
              <w:rPr>
                <w:rFonts w:ascii="Courier New" w:hAnsi="Courier New"/>
                <w:color w:val="0B1B2B"/>
                <w:sz w:val="16"/>
              </w:rPr>
              <w:t>3. BFF captures instance_id + activity_instance_id</w:t>
            </w:r>
            <w:r>
              <w:br/>
            </w:r>
            <w:r>
              <w:rPr>
                <w:rFonts w:ascii="Courier New" w:hAnsi="Courier New"/>
                <w:color w:val="0B1B2B"/>
                <w:sz w:val="16"/>
              </w:rPr>
              <w:t>4. BFF → Kissflow SUBMIT API</w:t>
            </w:r>
            <w:r>
              <w:br/>
            </w:r>
            <w:r>
              <w:rPr>
                <w:rFonts w:ascii="Courier New" w:hAnsi="Courier New"/>
                <w:color w:val="0B1B2B"/>
                <w:sz w:val="16"/>
              </w:rPr>
              <w:t>5. Kissflow executes workflow/formulas/business numbering</w:t>
            </w:r>
            <w:r>
              <w:br/>
            </w:r>
            <w:r>
              <w:rPr>
                <w:rFonts w:ascii="Courier New" w:hAnsi="Courier New"/>
                <w:color w:val="0B1B2B"/>
                <w:sz w:val="16"/>
              </w:rPr>
              <w:t>6. BFF → Kissflow READ/LIST API when read-back is required</w:t>
            </w:r>
            <w:r>
              <w:br/>
            </w:r>
            <w:r>
              <w:rPr>
                <w:rFonts w:ascii="Courier New" w:hAnsi="Courier New"/>
                <w:color w:val="0B1B2B"/>
                <w:sz w:val="16"/>
              </w:rPr>
              <w:t>7. BFF normalises the response</w:t>
            </w:r>
            <w:r>
              <w:br/>
            </w:r>
            <w:r>
              <w:rPr>
                <w:rFonts w:ascii="Courier New" w:hAnsi="Courier New"/>
                <w:color w:val="0B1B2B"/>
                <w:sz w:val="16"/>
              </w:rPr>
              <w:t>8. Custom UI receives only business-facing data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76"/>
      </w:tblGrid>
      <w:tr>
        <w:trPr>
          <w:cantSplit/>
        </w:trPr>
        <w:tc>
          <w:tcPr>
            <w:tcW w:type="dxa" w:w="5227"/>
            <w:shd w:fill="11998E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8"/>
              </w:rPr>
              <w:t>03</w:t>
            </w:r>
          </w:p>
        </w:tc>
        <w:tc>
          <w:tcPr>
            <w:tcW w:type="dxa" w:w="5227"/>
            <w:shd w:fill="0B1B2B"/>
          </w:tcPr>
          <w:p>
            <w:pPr>
              <w:spacing w:after="0"/>
            </w:pPr>
            <w:r>
              <w:rPr>
                <w:rFonts w:ascii="Aptos Display" w:hAnsi="Aptos Display"/>
                <w:b/>
                <w:color w:val="FFFFFF"/>
                <w:sz w:val="30"/>
              </w:rPr>
              <w:t>RESPONSIVE UI STRATEGY</w:t>
            </w:r>
          </w:p>
          <w:p>
            <w:pPr>
              <w:spacing w:after="0"/>
            </w:pPr>
            <w:r>
              <w:rPr>
                <w:rFonts w:ascii="Aptos" w:hAnsi="Aptos"/>
                <w:color w:val="C6D2DD"/>
                <w:sz w:val="17"/>
              </w:rPr>
              <w:t>One backend contract; device-appropriate experiences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  <w:color w:val="0B1B2B"/>
        </w:rPr>
        <w:t xml:space="preserve">The goal is not to squeeze a desktop screen onto smaller devices. </w:t>
      </w:r>
      <w:r>
        <w:t>Reuse the same business/API layer while deliberately adapting navigation, density and interaction for each form factor.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4320"/>
        <w:gridCol w:w="4320"/>
      </w:tblGrid>
      <w:tr>
        <w:trPr>
          <w:tblHeader w:val="true"/>
          <w:cantSplit/>
        </w:trPr>
        <w:tc>
          <w:tcPr>
            <w:tcW w:type="dxa" w:w="3485"/>
            <w:shd w:fill="162A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Form factor</w:t>
            </w:r>
          </w:p>
        </w:tc>
        <w:tc>
          <w:tcPr>
            <w:tcW w:type="dxa" w:w="3485"/>
            <w:shd w:fill="162A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Recommended experience</w:t>
            </w:r>
          </w:p>
        </w:tc>
        <w:tc>
          <w:tcPr>
            <w:tcW w:type="dxa" w:w="3485"/>
            <w:shd w:fill="162A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Typical UI pattern</w:t>
            </w:r>
          </w:p>
        </w:tc>
      </w:tr>
      <w:tr>
        <w:trPr>
          <w:cantSplit/>
        </w:trPr>
        <w:tc>
          <w:tcPr>
            <w:tcW w:type="dxa" w:w="3485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B36"/>
                <w:sz w:val="17"/>
              </w:rPr>
              <w:t>Web</w:t>
            </w:r>
          </w:p>
        </w:tc>
        <w:tc>
          <w:tcPr>
            <w:tcW w:type="dxa" w:w="3485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B36"/>
                <w:sz w:val="17"/>
              </w:rPr>
              <w:t>Information-rich, multi-column workspace</w:t>
            </w:r>
          </w:p>
        </w:tc>
        <w:tc>
          <w:tcPr>
            <w:tcW w:type="dxa" w:w="3485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B36"/>
                <w:sz w:val="17"/>
              </w:rPr>
              <w:t>Side navigation, tables, split panes, dense filters</w:t>
            </w:r>
          </w:p>
        </w:tc>
      </w:tr>
      <w:tr>
        <w:trPr>
          <w:cantSplit/>
        </w:trPr>
        <w:tc>
          <w:tcPr>
            <w:tcW w:type="dxa" w:w="3485"/>
            <w:shd w:fill="F4F7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B36"/>
                <w:sz w:val="17"/>
              </w:rPr>
              <w:t>iPad</w:t>
            </w:r>
          </w:p>
        </w:tc>
        <w:tc>
          <w:tcPr>
            <w:tcW w:type="dxa" w:w="3485"/>
            <w:shd w:fill="F4F7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B36"/>
                <w:sz w:val="17"/>
              </w:rPr>
              <w:t>Touch-first operational layout with useful width</w:t>
            </w:r>
          </w:p>
        </w:tc>
        <w:tc>
          <w:tcPr>
            <w:tcW w:type="dxa" w:w="3485"/>
            <w:shd w:fill="F4F7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B36"/>
                <w:sz w:val="17"/>
              </w:rPr>
              <w:t>Two-pane layouts, larger targets, persistent context, fewer dense columns</w:t>
            </w:r>
          </w:p>
        </w:tc>
      </w:tr>
      <w:tr>
        <w:trPr>
          <w:cantSplit/>
        </w:trPr>
        <w:tc>
          <w:tcPr>
            <w:tcW w:type="dxa" w:w="3485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B36"/>
                <w:sz w:val="17"/>
              </w:rPr>
              <w:t>Mobile</w:t>
            </w:r>
          </w:p>
        </w:tc>
        <w:tc>
          <w:tcPr>
            <w:tcW w:type="dxa" w:w="3485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B36"/>
                <w:sz w:val="17"/>
              </w:rPr>
              <w:t>Task-first, single-column experience</w:t>
            </w:r>
          </w:p>
        </w:tc>
        <w:tc>
          <w:tcPr>
            <w:tcW w:type="dxa" w:w="3485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B36"/>
                <w:sz w:val="17"/>
              </w:rPr>
              <w:t>Cards, bottom actions, progressive disclosure, minimal typing</w:t>
            </w:r>
          </w:p>
        </w:tc>
      </w:tr>
    </w:tbl>
    <w:p>
      <w:pPr>
        <w:spacing w:after="0"/>
      </w:pPr>
    </w:p>
    <w:p>
      <w:pPr>
        <w:pStyle w:val="Heading2"/>
      </w:pPr>
      <w:r>
        <w:t>Recommended implementation pattern</w:t>
      </w:r>
    </w:p>
    <w:p>
      <w:pPr>
        <w:pStyle w:val="ListBullet"/>
        <w:spacing w:after="40"/>
        <w:ind w:left="0"/>
      </w:pPr>
      <w:r>
        <w:rPr>
          <w:sz w:val="19"/>
        </w:rPr>
        <w:t>Shared domain models, validation rules and API client across all form factors.</w:t>
      </w:r>
    </w:p>
    <w:p>
      <w:pPr>
        <w:pStyle w:val="ListBullet"/>
        <w:spacing w:after="40"/>
        <w:ind w:left="0"/>
      </w:pPr>
      <w:r>
        <w:rPr>
          <w:sz w:val="19"/>
        </w:rPr>
        <w:t>Shared design tokens and reusable components where behaviour is truly common.</w:t>
      </w:r>
    </w:p>
    <w:p>
      <w:pPr>
        <w:pStyle w:val="ListBullet"/>
        <w:spacing w:after="40"/>
        <w:ind w:left="0"/>
      </w:pPr>
      <w:r>
        <w:rPr>
          <w:sz w:val="19"/>
        </w:rPr>
        <w:t>Separate layout shells/components for Web, iPad and Mobile when the interaction pattern differs materially.</w:t>
      </w:r>
    </w:p>
    <w:p>
      <w:pPr>
        <w:pStyle w:val="ListBullet"/>
        <w:spacing w:after="40"/>
        <w:ind w:left="0"/>
      </w:pPr>
      <w:r>
        <w:rPr>
          <w:sz w:val="19"/>
        </w:rPr>
        <w:t>Use responsive breakpoints for ordinary resizing; use an explicit host-provided layoutMode when the embedding container knows the device context more reliably than CSS alone.</w:t>
      </w:r>
    </w:p>
    <w:p>
      <w:pPr>
        <w:pStyle w:val="Heading2"/>
      </w:pPr>
      <w:r>
        <w:t>Optional host context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"/>
              <w:spacing w:after="0"/>
            </w:pPr>
            <w:r>
              <w:rPr>
                <w:rFonts w:ascii="Courier New" w:hAnsi="Courier New"/>
                <w:color w:val="0B1B2B"/>
                <w:sz w:val="16"/>
              </w:rPr>
              <w:t>...?layoutMode=web</w:t>
            </w:r>
            <w:r>
              <w:br/>
            </w:r>
            <w:r>
              <w:rPr>
                <w:rFonts w:ascii="Courier New" w:hAnsi="Courier New"/>
                <w:color w:val="0B1B2B"/>
                <w:sz w:val="16"/>
              </w:rPr>
              <w:t>...?layoutMode=ipad</w:t>
            </w:r>
            <w:r>
              <w:br/>
            </w:r>
            <w:r>
              <w:rPr>
                <w:rFonts w:ascii="Courier New" w:hAnsi="Courier New"/>
                <w:color w:val="0B1B2B"/>
                <w:sz w:val="16"/>
              </w:rPr>
              <w:t>...?layoutMode=mobile</w:t>
            </w:r>
          </w:p>
        </w:tc>
      </w:tr>
    </w:tbl>
    <w:p>
      <w:pPr>
        <w:spacing w:after="0"/>
      </w:pPr>
    </w:p>
    <w:p>
      <w:pPr>
        <w:pStyle w:val="ListBullet"/>
        <w:spacing w:after="40"/>
        <w:ind w:left="0"/>
      </w:pPr>
      <w:r>
        <w:rPr>
          <w:sz w:val="19"/>
        </w:rPr>
        <w:t>Treat layoutMode as presentation context only. It must not change business permissions or backend authorization.</w:t>
      </w:r>
    </w:p>
    <w:p>
      <w:pPr>
        <w:pStyle w:val="ListBullet"/>
        <w:spacing w:after="40"/>
        <w:ind w:left="0"/>
      </w:pPr>
      <w:r>
        <w:rPr>
          <w:sz w:val="19"/>
        </w:rPr>
        <w:t>If layoutMode is absent, fall back to responsive CSS/media-query detection.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11998E"/>
                <w:sz w:val="18"/>
              </w:rPr>
              <w:t>DESIGN PRINCIPLE</w:t>
            </w:r>
          </w:p>
          <w:p>
            <w:pPr>
              <w:spacing w:after="0"/>
            </w:pPr>
            <w:r>
              <w:rPr>
                <w:color w:val="0B1B2B"/>
                <w:sz w:val="18"/>
              </w:rPr>
              <w:t>One Kissflow record and one workflow should behave consistently across devices. Only the presentation layer changes.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76"/>
      </w:tblGrid>
      <w:tr>
        <w:trPr>
          <w:cantSplit/>
        </w:trPr>
        <w:tc>
          <w:tcPr>
            <w:tcW w:type="dxa" w:w="5227"/>
            <w:shd w:fill="11998E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8"/>
              </w:rPr>
              <w:t>04</w:t>
            </w:r>
          </w:p>
        </w:tc>
        <w:tc>
          <w:tcPr>
            <w:tcW w:type="dxa" w:w="5227"/>
            <w:shd w:fill="0B1B2B"/>
          </w:tcPr>
          <w:p>
            <w:pPr>
              <w:spacing w:after="0"/>
            </w:pPr>
            <w:r>
              <w:rPr>
                <w:rFonts w:ascii="Aptos Display" w:hAnsi="Aptos Display"/>
                <w:b/>
                <w:color w:val="FFFFFF"/>
                <w:sz w:val="30"/>
              </w:rPr>
              <w:t>SECURITY &amp; IMPLEMENTATION CHECKLIST</w:t>
            </w:r>
          </w:p>
          <w:p>
            <w:pPr>
              <w:spacing w:after="0"/>
            </w:pPr>
            <w:r>
              <w:rPr>
                <w:rFonts w:ascii="Aptos" w:hAnsi="Aptos"/>
                <w:color w:val="C6D2DD"/>
                <w:sz w:val="17"/>
              </w:rPr>
              <w:t>Minimum rules for a reusable pattern</w:t>
            </w:r>
          </w:p>
        </w:tc>
      </w:tr>
    </w:tbl>
    <w:p>
      <w:pPr>
        <w:spacing w:after="0"/>
      </w:pPr>
    </w:p>
    <w:p>
      <w:pPr>
        <w:pStyle w:val="Heading2"/>
      </w:pPr>
      <w:r>
        <w:t>Security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227"/>
            <w:shd w:fill="162A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Do</w:t>
            </w:r>
          </w:p>
        </w:tc>
        <w:tc>
          <w:tcPr>
            <w:tcW w:type="dxa" w:w="5227"/>
            <w:shd w:fill="162A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Do not</w:t>
            </w:r>
          </w:p>
        </w:tc>
      </w:tr>
      <w:tr>
        <w:trPr>
          <w:cantSplit/>
        </w:trPr>
        <w:tc>
          <w:tcPr>
            <w:tcW w:type="dxa" w:w="5227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B36"/>
                <w:sz w:val="17"/>
              </w:rPr>
              <w:t>Store Kissflow API keys/secrets only on the server or secret manager.</w:t>
            </w:r>
          </w:p>
        </w:tc>
        <w:tc>
          <w:tcPr>
            <w:tcW w:type="dxa" w:w="5227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B36"/>
                <w:sz w:val="17"/>
              </w:rPr>
              <w:t>Put Kissflow credentials in React, browser storage or URL parameters.</w:t>
            </w:r>
          </w:p>
        </w:tc>
      </w:tr>
      <w:tr>
        <w:trPr>
          <w:cantSplit/>
        </w:trPr>
        <w:tc>
          <w:tcPr>
            <w:tcW w:type="dxa" w:w="5227"/>
            <w:shd w:fill="F4F7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B36"/>
                <w:sz w:val="17"/>
              </w:rPr>
              <w:t>Validate the signed-in user and scope every server/BFF request.</w:t>
            </w:r>
          </w:p>
        </w:tc>
        <w:tc>
          <w:tcPr>
            <w:tcW w:type="dxa" w:w="5227"/>
            <w:shd w:fill="F4F7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B36"/>
                <w:sz w:val="17"/>
              </w:rPr>
              <w:t>Assume a hidden button or client-side filter is authorization.</w:t>
            </w:r>
          </w:p>
        </w:tc>
      </w:tr>
      <w:tr>
        <w:trPr>
          <w:cantSplit/>
        </w:trPr>
        <w:tc>
          <w:tcPr>
            <w:tcW w:type="dxa" w:w="5227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B36"/>
                <w:sz w:val="17"/>
              </w:rPr>
              <w:t>Return only fields required by the screen.</w:t>
            </w:r>
          </w:p>
        </w:tc>
        <w:tc>
          <w:tcPr>
            <w:tcW w:type="dxa" w:w="5227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B36"/>
                <w:sz w:val="17"/>
              </w:rPr>
              <w:t>Forward raw privileged API responses to the browser.</w:t>
            </w:r>
          </w:p>
        </w:tc>
      </w:tr>
      <w:tr>
        <w:trPr>
          <w:cantSplit/>
        </w:trPr>
        <w:tc>
          <w:tcPr>
            <w:tcW w:type="dxa" w:w="5227"/>
            <w:shd w:fill="F4F7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B36"/>
                <w:sz w:val="17"/>
              </w:rPr>
              <w:t>Log correlation IDs and business identifiers; redact secrets/PII where required.</w:t>
            </w:r>
          </w:p>
        </w:tc>
        <w:tc>
          <w:tcPr>
            <w:tcW w:type="dxa" w:w="5227"/>
            <w:shd w:fill="F4F7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B36"/>
                <w:sz w:val="17"/>
              </w:rPr>
              <w:t>Log API secrets, tokens or unrestricted sensitive payloads.</w:t>
            </w:r>
          </w:p>
        </w:tc>
      </w:tr>
    </w:tbl>
    <w:p>
      <w:pPr>
        <w:spacing w:after="0"/>
      </w:pPr>
    </w:p>
    <w:p>
      <w:pPr>
        <w:pStyle w:val="Heading2"/>
      </w:pPr>
      <w:r>
        <w:t>Implementation checklist</w:t>
      </w:r>
    </w:p>
    <w:p>
      <w:pPr>
        <w:pStyle w:val="ListNumber"/>
        <w:spacing w:after="40"/>
      </w:pPr>
      <w:r>
        <w:rPr>
          <w:sz w:val="19"/>
        </w:rPr>
        <w:t>Define the Kissflow process/form fields and workflow first.</w:t>
      </w:r>
    </w:p>
    <w:p>
      <w:pPr>
        <w:pStyle w:val="ListNumber"/>
        <w:spacing w:after="40"/>
      </w:pPr>
      <w:r>
        <w:rPr>
          <w:sz w:val="19"/>
        </w:rPr>
        <w:t>Define a small BFF contract for create, submit, list and detail operations.</w:t>
      </w:r>
    </w:p>
    <w:p>
      <w:pPr>
        <w:pStyle w:val="ListNumber"/>
        <w:spacing w:after="40"/>
      </w:pPr>
      <w:r>
        <w:rPr>
          <w:sz w:val="19"/>
        </w:rPr>
        <w:t>Implement server-side Kissflow authentication and field mapping.</w:t>
      </w:r>
    </w:p>
    <w:p>
      <w:pPr>
        <w:pStyle w:val="ListNumber"/>
        <w:spacing w:after="40"/>
      </w:pPr>
      <w:r>
        <w:rPr>
          <w:sz w:val="19"/>
        </w:rPr>
        <w:t>Build CREATE → SUBMIT as one controlled transaction path from the user perspective.</w:t>
      </w:r>
    </w:p>
    <w:p>
      <w:pPr>
        <w:pStyle w:val="ListNumber"/>
        <w:spacing w:after="40"/>
      </w:pPr>
      <w:r>
        <w:rPr>
          <w:sz w:val="19"/>
        </w:rPr>
        <w:t>Read back Kissflow-generated business values instead of inventing them in the UI.</w:t>
      </w:r>
    </w:p>
    <w:p>
      <w:pPr>
        <w:pStyle w:val="ListNumber"/>
        <w:spacing w:after="40"/>
      </w:pPr>
      <w:r>
        <w:rPr>
          <w:sz w:val="19"/>
        </w:rPr>
        <w:t>Enforce user/role/tenant scope before returning list/detail data.</w:t>
      </w:r>
    </w:p>
    <w:p>
      <w:pPr>
        <w:pStyle w:val="ListNumber"/>
        <w:spacing w:after="40"/>
      </w:pPr>
      <w:r>
        <w:rPr>
          <w:sz w:val="19"/>
        </w:rPr>
        <w:t>Build Web, iPad and Mobile layouts against the same domain/API contract.</w:t>
      </w:r>
    </w:p>
    <w:p>
      <w:pPr>
        <w:pStyle w:val="ListNumber"/>
        <w:spacing w:after="40"/>
      </w:pPr>
      <w:r>
        <w:rPr>
          <w:sz w:val="19"/>
        </w:rPr>
        <w:t>Test the full flow on each target device: create → submit → workflow → read-back.</w:t>
      </w:r>
    </w:p>
    <w:p>
      <w:pPr>
        <w:pStyle w:val="Heading2"/>
      </w:pPr>
      <w:r>
        <w:t>Minimal BFF contract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"/>
              <w:spacing w:after="0"/>
            </w:pPr>
            <w:r>
              <w:rPr>
                <w:rFonts w:ascii="Courier New" w:hAnsi="Courier New"/>
                <w:color w:val="0B1B2B"/>
                <w:sz w:val="16"/>
              </w:rPr>
              <w:t>POST /api/requests              → create + submit Kissflow item</w:t>
            </w:r>
            <w:r>
              <w:br/>
            </w:r>
            <w:r>
              <w:rPr>
                <w:rFonts w:ascii="Courier New" w:hAnsi="Courier New"/>
                <w:color w:val="0B1B2B"/>
                <w:sz w:val="16"/>
              </w:rPr>
              <w:t>GET  /api/requests              → scoped list for current user/role</w:t>
            </w:r>
            <w:r>
              <w:br/>
            </w:r>
            <w:r>
              <w:rPr>
                <w:rFonts w:ascii="Courier New" w:hAnsi="Courier New"/>
                <w:color w:val="0B1B2B"/>
                <w:sz w:val="16"/>
              </w:rPr>
              <w:t>GET  /api/requests/{id}         → scoped detail view</w:t>
            </w:r>
            <w:r>
              <w:br/>
            </w:r>
            <w:r>
              <w:rPr>
                <w:rFonts w:ascii="Courier New" w:hAnsi="Courier New"/>
                <w:color w:val="0B1B2B"/>
                <w:sz w:val="16"/>
              </w:rPr>
              <w:t>POST /api/requests/{id}/action  → approved workflow action (if required)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6F4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11998E"/>
                <w:sz w:val="18"/>
              </w:rPr>
              <w:t>DEFINITION OF DONE</w:t>
            </w:r>
          </w:p>
          <w:p>
            <w:pPr>
              <w:spacing w:after="0"/>
            </w:pPr>
            <w:r>
              <w:rPr>
                <w:color w:val="0B1B2B"/>
                <w:sz w:val="18"/>
              </w:rPr>
              <w:t>The application feels native on Web, iPad and Mobile; Kissflow remains the authoritative workflow/data backend; the browser contains no privileged Kissflow credentials; and the same business record can be created, progressed and read consistently across form factors.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6470"/>
        <w:sz w:val="15"/>
      </w:rPr>
      <w:t>Generic implementation reference • Custom UI + Kissflow backend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A6470"/>
        <w:sz w:val="15"/>
      </w:rPr>
      <w:t>KISSFLOW CUSTOM UI INTEGRATION GUIDE  |  v1.2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B2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1998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00"/>
      <w:contextualSpacing/>
    </w:pPr>
    <w:rPr>
      <w:rFonts w:asciiTheme="majorHAnsi" w:eastAsiaTheme="majorEastAsia" w:hAnsiTheme="majorHAnsi" w:cstheme="majorBidi" w:ascii="Aptos Display" w:hAnsi="Aptos Display"/>
      <w:b/>
      <w:color w:val="0B1B2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40"/>
    </w:pPr>
    <w:rPr>
      <w:rFonts w:ascii="Courier New" w:hAnsi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Kissflow Custom UI Integration Guide</dc:title>
  <dc:subject>Generic pattern for responsive custom UI backed by Kissflow forms/processes</dc:subject>
  <dc:creator>Kissflow Professional Services</dc:creator>
  <cp:keywords>Kissflow, Custom UI, Responsive, Web, iPad, Mobile, API, BFF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