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Georgia" w:cs="Georgia" w:eastAsia="Georgia" w:hAnsi="Georgia"/>
          <w:b/>
          <w:bCs/>
          <w:color w:val="234F46"/>
          <w:sz w:val="40"/>
          <w:szCs w:val="40"/>
        </w:rPr>
        <w:t xml:space="preserve">Términos de Servicio</w:t>
      </w:r>
    </w:p>
    <w:p>
      <w:pPr>
        <w:spacing w:after="60"/>
      </w:pPr>
      <w:r>
        <w:rPr>
          <w:rFonts w:ascii="Calibri" w:cs="Calibri" w:eastAsia="Calibri" w:hAnsi="Calibri"/>
          <w:b/>
          <w:bCs/>
          <w:color w:val="2F6F63"/>
          <w:sz w:val="19"/>
          <w:szCs w:val="19"/>
        </w:rPr>
        <w:t xml:space="preserve">ANCLA · tuancla.com</w:t>
      </w:r>
    </w:p>
    <w:p>
      <w:pPr>
        <w:spacing w:after="260"/>
      </w:pPr>
      <w:r>
        <w:rPr>
          <w:rFonts w:ascii="Calibri" w:cs="Calibri" w:eastAsia="Calibri" w:hAnsi="Calibri"/>
          <w:i/>
          <w:iCs/>
          <w:color w:val="6B6F5F"/>
          <w:sz w:val="18"/>
          <w:szCs w:val="18"/>
        </w:rPr>
        <w:t xml:space="preserve">Versión 1.0 — Borrador para revisión legal</w:t>
      </w:r>
    </w:p>
    <w:p>
      <w:pPr>
        <w:pBdr>
          <w:top w:val="single" w:color="C9973F" w:sz="6" w:space="4"/>
          <w:bottom w:val="single" w:color="C9973F" w:sz="6" w:space="4"/>
          <w:left w:val="single" w:color="C9973F" w:sz="6" w:space="4"/>
          <w:right w:val="single" w:color="C9973F" w:sz="6" w:space="4"/>
        </w:pBdr>
        <w:shd w:fill="FBF0E4" w:val="clear"/>
        <w:spacing w:after="400" w:before="200"/>
      </w:pPr>
      <w:r>
        <w:rPr>
          <w:rFonts w:ascii="Calibri" w:cs="Calibri" w:eastAsia="Calibri" w:hAnsi="Calibri"/>
          <w:color w:val="8A6A2E"/>
          <w:sz w:val="19"/>
          <w:szCs w:val="19"/>
        </w:rPr>
        <w:t xml:space="preserve">ESTE DOCUMENTO ES UNA PLANTILLA, NO ASESORÍA LEGAL. Fue redactado siguiendo la estructura que exige la LFPDPPP (Aviso de Privacidad) y cláusulas estándar de la industria (Términos de Servicio). Antes de publicarlo o de abrir el registro a usuarios reales: (1) debe revisarlo un abogado con cédula profesional en México, y (2) deben completarse todos los campos marcados como [COMPLETAR: ...] con los datos reales de la empresa responsable.</w:t>
      </w:r>
    </w:p>
    <w:p>
      <w:pPr>
        <w:pBdr>
          <w:bottom w:val="single" w:color="D8CFB8" w:sz="4" w:space="2"/>
        </w:pBdr>
        <w:spacing w:after="100" w:before="260"/>
      </w:pPr>
      <w:r>
        <w:rPr>
          <w:rFonts w:ascii="Georgia" w:cs="Georgia" w:eastAsia="Georgia" w:hAnsi="Georgia"/>
          <w:b/>
          <w:bCs/>
          <w:color w:val="2F6F63"/>
          <w:sz w:val="24"/>
          <w:szCs w:val="24"/>
        </w:rPr>
        <w:t xml:space="preserve">1. Objeto del servicio</w:t>
      </w:r>
    </w:p>
    <w:p>
      <w:pPr>
        <w:spacing w:after="160" w:line="300"/>
      </w:pPr>
      <w:r>
        <w:rPr>
          <w:rFonts w:ascii="Calibri" w:cs="Calibri" w:eastAsia="Calibri" w:hAnsi="Calibri"/>
          <w:color w:val="22261F"/>
          <w:sz w:val="21"/>
          <w:szCs w:val="21"/>
        </w:rPr>
        <w:t xml:space="preserve">ANCLA es una aplicación de apoyo a la organización financiera personal, basada en los principios del libro "Volver a Empezar" de Carlos Sandoval. ANCLA es una herramienta de registro, visibilidad y acompañamiento — no es una institución financiera, no otorga créditos, no brinda asesoría financiera profesional, ni sustituye la atención de un profesional de la salud mental.</w:t>
      </w:r>
    </w:p>
    <w:p>
      <w:pPr>
        <w:pBdr>
          <w:bottom w:val="single" w:color="D8CFB8" w:sz="4" w:space="2"/>
        </w:pBdr>
        <w:spacing w:after="100" w:before="260"/>
      </w:pPr>
      <w:r>
        <w:rPr>
          <w:rFonts w:ascii="Georgia" w:cs="Georgia" w:eastAsia="Georgia" w:hAnsi="Georgia"/>
          <w:b/>
          <w:bCs/>
          <w:color w:val="2F6F63"/>
          <w:sz w:val="24"/>
          <w:szCs w:val="24"/>
        </w:rPr>
        <w:t xml:space="preserve">2. Elegibilidad</w:t>
      </w:r>
    </w:p>
    <w:p>
      <w:pPr>
        <w:spacing w:after="160" w:line="300"/>
      </w:pPr>
      <w:r>
        <w:rPr>
          <w:rFonts w:ascii="Calibri" w:cs="Calibri" w:eastAsia="Calibri" w:hAnsi="Calibri"/>
          <w:color w:val="22261F"/>
          <w:sz w:val="21"/>
          <w:szCs w:val="21"/>
        </w:rPr>
        <w:t xml:space="preserve">Debes tener al menos 18 años para crear una cuenta en ANCLA. Al registrarte, declaras que la información que proporcionas es verdadera y que tienes la capacidad legal para aceptar estos Términos.</w:t>
      </w:r>
    </w:p>
    <w:p>
      <w:pPr>
        <w:pBdr>
          <w:bottom w:val="single" w:color="D8CFB8" w:sz="4" w:space="2"/>
        </w:pBdr>
        <w:spacing w:after="100" w:before="260"/>
      </w:pPr>
      <w:r>
        <w:rPr>
          <w:rFonts w:ascii="Georgia" w:cs="Georgia" w:eastAsia="Georgia" w:hAnsi="Georgia"/>
          <w:b/>
          <w:bCs/>
          <w:color w:val="2F6F63"/>
          <w:sz w:val="24"/>
          <w:szCs w:val="24"/>
        </w:rPr>
        <w:t xml:space="preserve">3. Tu cuenta</w:t>
      </w:r>
    </w:p>
    <w:p>
      <w:pPr>
        <w:spacing w:after="160" w:line="300"/>
      </w:pPr>
      <w:r>
        <w:rPr>
          <w:rFonts w:ascii="Calibri" w:cs="Calibri" w:eastAsia="Calibri" w:hAnsi="Calibri"/>
          <w:color w:val="22261F"/>
          <w:sz w:val="21"/>
          <w:szCs w:val="21"/>
        </w:rPr>
        <w:t xml:space="preserve">Eres responsable de mantener la confidencialidad de tu contraseña y de toda actividad que ocurra en tu cuenta. Notifícanos de inmediato si sospechas un uso no autorizado.</w:t>
      </w:r>
    </w:p>
    <w:p>
      <w:pPr>
        <w:pBdr>
          <w:bottom w:val="single" w:color="D8CFB8" w:sz="4" w:space="2"/>
        </w:pBdr>
        <w:spacing w:after="100" w:before="260"/>
      </w:pPr>
      <w:r>
        <w:rPr>
          <w:rFonts w:ascii="Georgia" w:cs="Georgia" w:eastAsia="Georgia" w:hAnsi="Georgia"/>
          <w:b/>
          <w:bCs/>
          <w:color w:val="2F6F63"/>
          <w:sz w:val="24"/>
          <w:szCs w:val="24"/>
        </w:rPr>
        <w:t xml:space="preserve">4. Naturaleza informativa — no es asesoría profesional</w:t>
      </w:r>
    </w:p>
    <w:p>
      <w:pPr>
        <w:spacing w:after="160" w:line="300"/>
      </w:pPr>
      <w:r>
        <w:rPr>
          <w:rFonts w:ascii="Calibri" w:cs="Calibri" w:eastAsia="Calibri" w:hAnsi="Calibri"/>
          <w:color w:val="22261F"/>
          <w:sz w:val="21"/>
          <w:szCs w:val="21"/>
        </w:rPr>
        <w:t xml:space="preserve">El contenido de ANCLA (incluyendo el Score de Salud Financiera, las sugerencias de la estrategia de "bola de nieve" y cualquier plantilla de conversación) tiene fines educativos e informativos. No constituye asesoría financiera, legal, fiscal ni psicológica profesional. Para decisiones financieras importantes o dificultades emocionales significativas, te recomendamos consultar a un profesional certificado en la materia correspondiente.</w:t>
      </w:r>
    </w:p>
    <w:p>
      <w:pPr>
        <w:pBdr>
          <w:bottom w:val="single" w:color="D8CFB8" w:sz="4" w:space="2"/>
        </w:pBdr>
        <w:spacing w:after="100" w:before="260"/>
      </w:pPr>
      <w:r>
        <w:rPr>
          <w:rFonts w:ascii="Georgia" w:cs="Georgia" w:eastAsia="Georgia" w:hAnsi="Georgia"/>
          <w:b/>
          <w:bCs/>
          <w:color w:val="2F6F63"/>
          <w:sz w:val="24"/>
          <w:szCs w:val="24"/>
        </w:rPr>
        <w:t xml:space="preserve">5. Uso permitido</w:t>
      </w:r>
    </w:p>
    <w:p>
      <w:pPr>
        <w:spacing w:after="160" w:line="300"/>
      </w:pPr>
      <w:r>
        <w:rPr>
          <w:rFonts w:ascii="Calibri" w:cs="Calibri" w:eastAsia="Calibri" w:hAnsi="Calibri"/>
          <w:color w:val="22261F"/>
          <w:sz w:val="21"/>
          <w:szCs w:val="21"/>
        </w:rPr>
        <w:t xml:space="preserve">Te comprometes a usar ANCLA únicamente para fines lícitos y a no intentar vulnerar la seguridad de la plataforma, acceder a datos de otros usuarios, ni utilizar el servicio para actividades fraudulentas.</w:t>
      </w:r>
    </w:p>
    <w:p>
      <w:pPr>
        <w:pBdr>
          <w:bottom w:val="single" w:color="D8CFB8" w:sz="4" w:space="2"/>
        </w:pBdr>
        <w:spacing w:after="100" w:before="260"/>
      </w:pPr>
      <w:r>
        <w:rPr>
          <w:rFonts w:ascii="Georgia" w:cs="Georgia" w:eastAsia="Georgia" w:hAnsi="Georgia"/>
          <w:b/>
          <w:bCs/>
          <w:color w:val="2F6F63"/>
          <w:sz w:val="24"/>
          <w:szCs w:val="24"/>
        </w:rPr>
        <w:t xml:space="preserve">6. Propiedad intelectual</w:t>
      </w:r>
    </w:p>
    <w:p>
      <w:pPr>
        <w:spacing w:after="160" w:line="300"/>
      </w:pPr>
      <w:r>
        <w:rPr>
          <w:rFonts w:ascii="Calibri" w:cs="Calibri" w:eastAsia="Calibri" w:hAnsi="Calibri"/>
          <w:color w:val="22261F"/>
          <w:sz w:val="21"/>
          <w:szCs w:val="21"/>
        </w:rPr>
        <w:t xml:space="preserve">El diseño, la marca ANCLA, el framework "El Ciclo de Reconstrucción" y el software de la aplicación son propiedad de [COMPLETAR: razón social]. El contenido que tú generas (tus deudas, metas, entradas de diario) te pertenece; nosotros solo lo almacenamos para prestarte el servicio.</w:t>
      </w:r>
    </w:p>
    <w:p>
      <w:pPr>
        <w:pBdr>
          <w:bottom w:val="single" w:color="D8CFB8" w:sz="4" w:space="2"/>
        </w:pBdr>
        <w:spacing w:after="100" w:before="260"/>
      </w:pPr>
      <w:r>
        <w:rPr>
          <w:rFonts w:ascii="Georgia" w:cs="Georgia" w:eastAsia="Georgia" w:hAnsi="Georgia"/>
          <w:b/>
          <w:bCs/>
          <w:color w:val="2F6F63"/>
          <w:sz w:val="24"/>
          <w:szCs w:val="24"/>
        </w:rPr>
        <w:t xml:space="preserve">7. Modo Compartido con pareja</w:t>
      </w:r>
    </w:p>
    <w:p>
      <w:pPr>
        <w:spacing w:after="160" w:line="300"/>
      </w:pPr>
      <w:r>
        <w:rPr>
          <w:rFonts w:ascii="Calibri" w:cs="Calibri" w:eastAsia="Calibri" w:hAnsi="Calibri"/>
          <w:color w:val="22261F"/>
          <w:sz w:val="21"/>
          <w:szCs w:val="21"/>
        </w:rPr>
        <w:t xml:space="preserve">Si activas el Modo Compartido, la información que decidas compartir será visible para la persona que invites, únicamente para los módulos que tú selecciones explícitamente. Puedes revocar este acceso en cualquier momento desde la sección "Pareja".</w:t>
      </w:r>
    </w:p>
    <w:p>
      <w:pPr>
        <w:pBdr>
          <w:bottom w:val="single" w:color="D8CFB8" w:sz="4" w:space="2"/>
        </w:pBdr>
        <w:spacing w:after="100" w:before="260"/>
      </w:pPr>
      <w:r>
        <w:rPr>
          <w:rFonts w:ascii="Georgia" w:cs="Georgia" w:eastAsia="Georgia" w:hAnsi="Georgia"/>
          <w:b/>
          <w:bCs/>
          <w:color w:val="2F6F63"/>
          <w:sz w:val="24"/>
          <w:szCs w:val="24"/>
        </w:rPr>
        <w:t xml:space="preserve">8. Limitación de responsabilidad</w:t>
      </w:r>
    </w:p>
    <w:p>
      <w:pPr>
        <w:spacing w:after="160" w:line="300"/>
      </w:pPr>
      <w:r>
        <w:rPr>
          <w:rFonts w:ascii="Calibri" w:cs="Calibri" w:eastAsia="Calibri" w:hAnsi="Calibri"/>
          <w:color w:val="22261F"/>
          <w:sz w:val="21"/>
          <w:szCs w:val="21"/>
        </w:rPr>
        <w:t xml:space="preserve">ANCLA se ofrece "tal cual". En la medida permitida por la ley, no somos responsables de decisiones financieras que tomes basándote en la información de la app, ni de daños indirectos derivados del uso del servicio.</w:t>
      </w:r>
    </w:p>
    <w:p>
      <w:pPr>
        <w:pBdr>
          <w:bottom w:val="single" w:color="D8CFB8" w:sz="4" w:space="2"/>
        </w:pBdr>
        <w:spacing w:after="100" w:before="260"/>
      </w:pPr>
      <w:r>
        <w:rPr>
          <w:rFonts w:ascii="Georgia" w:cs="Georgia" w:eastAsia="Georgia" w:hAnsi="Georgia"/>
          <w:b/>
          <w:bCs/>
          <w:color w:val="2F6F63"/>
          <w:sz w:val="24"/>
          <w:szCs w:val="24"/>
        </w:rPr>
        <w:t xml:space="preserve">9. Cancelación de cuenta</w:t>
      </w:r>
    </w:p>
    <w:p>
      <w:pPr>
        <w:spacing w:after="160" w:line="300"/>
      </w:pPr>
      <w:r>
        <w:rPr>
          <w:rFonts w:ascii="Calibri" w:cs="Calibri" w:eastAsia="Calibri" w:hAnsi="Calibri"/>
          <w:color w:val="22261F"/>
          <w:sz w:val="21"/>
          <w:szCs w:val="21"/>
        </w:rPr>
        <w:t xml:space="preserve">Puedes cancelar tu cuenta en cualquier momento desde la sección "Cuenta". Nos reservamos el derecho de suspender cuentas que violen estos Términos.</w:t>
      </w:r>
    </w:p>
    <w:p>
      <w:pPr>
        <w:pBdr>
          <w:bottom w:val="single" w:color="D8CFB8" w:sz="4" w:space="2"/>
        </w:pBdr>
        <w:spacing w:after="100" w:before="260"/>
      </w:pPr>
      <w:r>
        <w:rPr>
          <w:rFonts w:ascii="Georgia" w:cs="Georgia" w:eastAsia="Georgia" w:hAnsi="Georgia"/>
          <w:b/>
          <w:bCs/>
          <w:color w:val="2F6F63"/>
          <w:sz w:val="24"/>
          <w:szCs w:val="24"/>
        </w:rPr>
        <w:t xml:space="preserve">10. Modificaciones</w:t>
      </w:r>
    </w:p>
    <w:p>
      <w:pPr>
        <w:spacing w:after="160" w:line="300"/>
      </w:pPr>
      <w:r>
        <w:rPr>
          <w:rFonts w:ascii="Calibri" w:cs="Calibri" w:eastAsia="Calibri" w:hAnsi="Calibri"/>
          <w:color w:val="22261F"/>
          <w:sz w:val="21"/>
          <w:szCs w:val="21"/>
        </w:rPr>
        <w:t xml:space="preserve">Podemos actualizar estos Términos ocasionalmente. Te notificaremos dentro de la app antes de que los cambios entren en vigor.</w:t>
      </w:r>
    </w:p>
    <w:p>
      <w:pPr>
        <w:pBdr>
          <w:bottom w:val="single" w:color="D8CFB8" w:sz="4" w:space="2"/>
        </w:pBdr>
        <w:spacing w:after="100" w:before="260"/>
      </w:pPr>
      <w:r>
        <w:rPr>
          <w:rFonts w:ascii="Georgia" w:cs="Georgia" w:eastAsia="Georgia" w:hAnsi="Georgia"/>
          <w:b/>
          <w:bCs/>
          <w:color w:val="2F6F63"/>
          <w:sz w:val="24"/>
          <w:szCs w:val="24"/>
        </w:rPr>
        <w:t xml:space="preserve">11. Ley aplicable</w:t>
      </w:r>
    </w:p>
    <w:p>
      <w:pPr>
        <w:spacing w:after="160" w:line="300"/>
      </w:pPr>
      <w:r>
        <w:rPr>
          <w:rFonts w:ascii="Calibri" w:cs="Calibri" w:eastAsia="Calibri" w:hAnsi="Calibri"/>
          <w:color w:val="22261F"/>
          <w:sz w:val="21"/>
          <w:szCs w:val="21"/>
        </w:rPr>
        <w:t xml:space="preserve">Estos Términos se rigen por las leyes de los Estados Unidos Mexicanos. Cualquier controversia se someterá a los tribunales competentes de [COMPLETAR: ciudad/estado], renunciando a cualquier otro fuero que pudiera corresponder.</w:t>
      </w:r>
    </w:p>
    <w:p>
      <w:pPr>
        <w:pBdr>
          <w:bottom w:val="single" w:color="D8CFB8" w:sz="4" w:space="2"/>
        </w:pBdr>
        <w:spacing w:after="100" w:before="260"/>
      </w:pPr>
      <w:r>
        <w:rPr>
          <w:rFonts w:ascii="Georgia" w:cs="Georgia" w:eastAsia="Georgia" w:hAnsi="Georgia"/>
          <w:b/>
          <w:bCs/>
          <w:color w:val="2F6F63"/>
          <w:sz w:val="24"/>
          <w:szCs w:val="24"/>
        </w:rPr>
        <w:t xml:space="preserve">12. Contacto</w:t>
      </w:r>
    </w:p>
    <w:p>
      <w:pPr>
        <w:spacing w:after="160" w:line="300"/>
      </w:pPr>
      <w:r>
        <w:rPr>
          <w:rFonts w:ascii="Calibri" w:cs="Calibri" w:eastAsia="Calibri" w:hAnsi="Calibri"/>
          <w:color w:val="22261F"/>
          <w:sz w:val="21"/>
          <w:szCs w:val="21"/>
        </w:rPr>
        <w:t xml:space="preserve">Para dudas sobre estos Términos, escribe a [COMPLETAR: correo de contacto].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F5F"/>
        <w:sz w:val="16"/>
        <w:szCs w:val="16"/>
      </w:rPr>
      <w:t xml:space="preserve">Términos de Servicio — </w:t>
    </w:r>
    <w:r>
      <w:rPr>
        <w:rFonts w:ascii="Calibri" w:cs="Calibri" w:eastAsia="Calibri" w:hAnsi="Calibri"/>
        <w:color w:val="6B6F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FB8" w:sz="4" w:space="4"/>
      </w:pBdr>
      <w:jc w:val="right"/>
    </w:pPr>
    <w:r>
      <w:rPr>
        <w:rFonts w:ascii="Calibri" w:cs="Calibri" w:eastAsia="Calibri" w:hAnsi="Calibri"/>
        <w:color w:val="6B6F5F"/>
        <w:sz w:val="16"/>
        <w:szCs w:val="16"/>
      </w:rPr>
      <w:t xml:space="preserve">ANCLA · </w:t>
    </w:r>
    <w:r>
      <w:rPr>
        <w:rFonts w:ascii="Calibri" w:cs="Calibri" w:eastAsia="Calibri" w:hAnsi="Calibri"/>
        <w:b/>
        <w:bCs/>
        <w:color w:val="2F6F63"/>
        <w:sz w:val="16"/>
        <w:szCs w:val="16"/>
      </w:rPr>
      <w:t xml:space="preserve">tuancla.com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2026-07-06T03:19:03.996Z</dcterms:created>
  <dcterms:modified xsi:type="dcterms:W3CDTF">2026-07-06T03:19:03.996Z</dcterms:modified>
</cp:coreProperties>
</file>

<file path=docProps/custom.xml><?xml version="1.0" encoding="utf-8"?>
<Properties xmlns="http://schemas.openxmlformats.org/officeDocument/2006/custom-properties" xmlns:vt="http://schemas.openxmlformats.org/officeDocument/2006/docPropsVTypes"/>
</file>