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234F46"/>
          <w:sz w:val="80"/>
          <w:szCs w:val="80"/>
        </w:rPr>
        <w:t xml:space="preserve">ANCLA</w:t>
      </w:r>
    </w:p>
    <w:p>
      <w:pPr>
        <w:spacing w:after="100" w:before="160"/>
        <w:jc w:val="center"/>
      </w:pPr>
      <w:r>
        <w:rPr>
          <w:rFonts w:ascii="Calibri" w:cs="Calibri" w:eastAsia="Calibri" w:hAnsi="Calibri"/>
          <w:b/>
          <w:bCs/>
          <w:color w:val="6B6F5F"/>
          <w:sz w:val="26"/>
          <w:szCs w:val="26"/>
        </w:rPr>
        <w:t xml:space="preserve">CHECKLIST DE LANZAMIENTO A PRODUCCIÓN</w:t>
      </w:r>
    </w:p>
    <w:p>
      <w:pPr>
        <w:pBdr>
          <w:bottom w:val="single" w:color="C9973F" w:sz="12" w:space="8"/>
        </w:pBdr>
        <w:spacing w:after="400"/>
        <w:jc w:val="center"/>
      </w:pPr>
      <w:r>
        <w:rPr>
          <w:sz w:val="4"/>
          <w:szCs w:val="4"/>
        </w:rPr>
        <w:t xml:space="preserve"> </w:t>
      </w:r>
    </w:p>
    <w:p>
      <w:pPr>
        <w:spacing w:after="900" w:before="900"/>
        <w:jc w:val="center"/>
      </w:pPr>
      <w:r>
        <w:rPr>
          <w:rFonts w:ascii="Calibri" w:cs="Calibri" w:eastAsia="Calibri" w:hAnsi="Calibri"/>
          <w:b/>
          <w:bCs/>
          <w:color w:val="2F6F63"/>
          <w:sz w:val="24"/>
          <w:szCs w:val="24"/>
        </w:rPr>
        <w:t xml:space="preserve">tuancla.com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22261F"/>
          <w:sz w:val="21"/>
          <w:szCs w:val="21"/>
        </w:rPr>
        <w:t xml:space="preserve">Qué falta antes de abrir el registro a usuarios reales — organizado por urgencia real, no por orden de ocurrencia.</w:t>
      </w:r>
    </w:p>
    <w:p>
      <w:r>
        <w:br w:type="page"/>
      </w:r>
    </w:p>
    <w:p>
      <w:pPr>
        <w:pBdr>
          <w:bottom w:val="single" w:color="B0524A" w:sz="10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B0524A"/>
          <w:sz w:val="30"/>
          <w:szCs w:val="30"/>
        </w:rPr>
        <w:t xml:space="preserve">🔴 Bloqueante — no lanzar sin esto</w:t>
      </w:r>
    </w:p>
    <w:p>
      <w:pPr>
        <w:spacing w:after="260" w:line="280"/>
      </w:pPr>
      <w:r>
        <w:rPr>
          <w:rFonts w:ascii="Calibri" w:cs="Calibri" w:eastAsia="Calibri" w:hAnsi="Calibri"/>
          <w:i/>
          <w:iCs/>
          <w:color w:val="6B6F5F"/>
          <w:sz w:val="19"/>
          <w:szCs w:val="19"/>
        </w:rPr>
        <w:t xml:space="preserve">Estos cinco puntos protegen a usuarios reales que van a meter información financiera y emocional sensible. Ninguno requiere más de un par de días de trabajo, y todos usan herramientas que ya están conectadas (Firebase Auth, Firestore, Google Cloud).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3900"/>
        <w:gridCol w:w="1560"/>
      </w:tblGrid>
      <w:tr>
        <w:trPr>
          <w:tblHeader/>
        </w:trPr>
        <w:tc>
          <w:tcPr>
            <w:tcW w:type="dxa" w:w="500"/>
            <w:shd w:fill="B0524A" w:val="clear"/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B0524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900"/>
            <w:shd w:fill="B0524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  <w:tc>
          <w:tcPr>
            <w:tcW w:type="dxa" w:w="1560"/>
            <w:shd w:fill="B0524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Verificación de correo electrónico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Sin esto, cualquiera puede registrarse con un correo que no le pertenece. Firebase Auth ya soporta este flujo (sendEmailVerification).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3DED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3DEDB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Recuperación de contraseña</w:t>
            </w:r>
          </w:p>
        </w:tc>
        <w:tc>
          <w:tcPr>
            <w:tcW w:type="dxa" w:w="3900"/>
            <w:shd w:fill="F3DEDB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Si un usuario olvida su contraseña hoy, se queda fuera para siempre. Flujo estándar de Firebase Auth (sendPasswordResetEmail), no requiere backend adicional.</w:t>
            </w:r>
          </w:p>
        </w:tc>
        <w:tc>
          <w:tcPr>
            <w:tcW w:type="dxa" w:w="1560"/>
            <w:shd w:fill="F3DEDB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Aviso de Privacidad y Términos de Servicio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ANCLA guarda deudas, metas y entradas de diario emocional — datos sensibles. En México esto cae bajo la LFPDPPP, que exige Aviso de Privacidad accesible antes de recolectar datos.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3DEDB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3DEDB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Reglas de Firestore con validación de esquema</w:t>
            </w:r>
          </w:p>
        </w:tc>
        <w:tc>
          <w:tcPr>
            <w:tcW w:type="dxa" w:w="3900"/>
            <w:shd w:fill="F3DEDB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Las reglas actuales verifican dueño pero no forma de los datos. Un cliente malicioso (o un bug) podría escribir campos arbitrarios en cualquier documento.</w:t>
            </w:r>
          </w:p>
        </w:tc>
        <w:tc>
          <w:tcPr>
            <w:tcW w:type="dxa" w:w="1560"/>
            <w:shd w:fill="F3DEDB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Alerta de presupuesto en Firebase / Google Cloud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Firestore y Auth cobran por uso pasado el umbral gratuito. Sin alerta configurada, un bug o ataque que genere lecturas/escrituras en bucle puede generar una factura inesperada.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9973F" w:sz="10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C9973F"/>
          <w:sz w:val="30"/>
          <w:szCs w:val="30"/>
        </w:rPr>
        <w:t xml:space="preserve">🟡 Importante — primeras semanas</w:t>
      </w:r>
    </w:p>
    <w:p>
      <w:pPr>
        <w:spacing w:after="260" w:line="280"/>
      </w:pPr>
      <w:r>
        <w:rPr>
          <w:rFonts w:ascii="Calibri" w:cs="Calibri" w:eastAsia="Calibri" w:hAnsi="Calibri"/>
          <w:i/>
          <w:iCs/>
          <w:color w:val="6B6F5F"/>
          <w:sz w:val="19"/>
          <w:szCs w:val="19"/>
        </w:rPr>
        <w:t xml:space="preserve">No detienen un lanzamiento controlado (beta cerrada, grupo pequeño de usuarios de confianza), pero sí antes de una promoción pública amplia.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3900"/>
        <w:gridCol w:w="1560"/>
      </w:tblGrid>
      <w:tr>
        <w:trPr>
          <w:tblHeader/>
        </w:trPr>
        <w:tc>
          <w:tcPr>
            <w:tcW w:type="dxa" w:w="500"/>
            <w:shd w:fill="C9973F" w:val="clear"/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C9973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900"/>
            <w:shd w:fill="C9973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  <w:tc>
          <w:tcPr>
            <w:tcW w:type="dxa" w:w="1560"/>
            <w:shd w:fill="C9973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Conectar tuancla.com a Firebase Hosting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Build de producción (npm run build) + firebase deploy --only hosting + configurar el dominio personalizado en la consola de Firebase (SSL se genera automático).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3E6C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3E6C9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Monitoreo de errores en producción</w:t>
            </w:r>
          </w:p>
        </w:tc>
        <w:tc>
          <w:tcPr>
            <w:tcW w:type="dxa" w:w="3900"/>
            <w:shd w:fill="F3E6C9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Sin una herramienta como Sentry, te enteras de que algo falla porque un usuario se queja, no antes.</w:t>
            </w:r>
          </w:p>
        </w:tc>
        <w:tc>
          <w:tcPr>
            <w:tcW w:type="dxa" w:w="1560"/>
            <w:shd w:fill="F3E6C9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Reseteo semanal automático de la revisión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Hoy 'reviewCompletedThisWeek' nunca vuelve a false solo. Requiere una Cloud Function programada (Cloud Scheduler).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3E6C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3E6C9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Modo Compartido con pareja — versión real</w:t>
            </w:r>
          </w:p>
        </w:tc>
        <w:tc>
          <w:tcPr>
            <w:tcW w:type="dxa" w:w="3900"/>
            <w:shd w:fill="F3E6C9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Hoy es simulado del lado del cliente ('Simular aceptación'). Si se promociona como función real, necesita invitación y aceptación entre dos cuentas de verdad.</w:t>
            </w:r>
          </w:p>
        </w:tc>
        <w:tc>
          <w:tcPr>
            <w:tcW w:type="dxa" w:w="1560"/>
            <w:shd w:fill="F3E6C9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Backups / exportación de Firestore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Configurar exportaciones programadas a Cloud Storage para poder recuperar datos ante un error humano o técnico.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3E6C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3E6C9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Analítica básica de producto</w:t>
            </w:r>
          </w:p>
        </w:tc>
        <w:tc>
          <w:tcPr>
            <w:tcW w:type="dxa" w:w="3900"/>
            <w:shd w:fill="F3E6C9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Medir cuántos usuarios completan el Inventario de Realidad, retención a 7/30 días — los KPIs ya definidos en el Documento Maestro, sección 21.</w:t>
            </w:r>
          </w:p>
        </w:tc>
        <w:tc>
          <w:tcPr>
            <w:tcW w:type="dxa" w:w="1560"/>
            <w:shd w:fill="F3E6C9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F6F63" w:sz="10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F6F63"/>
          <w:sz w:val="30"/>
          <w:szCs w:val="30"/>
        </w:rPr>
        <w:t xml:space="preserve">🟢 Puede esperar</w:t>
      </w:r>
    </w:p>
    <w:p>
      <w:pPr>
        <w:spacing w:after="260" w:line="280"/>
      </w:pPr>
      <w:r>
        <w:rPr>
          <w:rFonts w:ascii="Calibri" w:cs="Calibri" w:eastAsia="Calibri" w:hAnsi="Calibri"/>
          <w:i/>
          <w:iCs/>
          <w:color w:val="6B6F5F"/>
          <w:sz w:val="19"/>
          <w:szCs w:val="19"/>
        </w:rPr>
        <w:t xml:space="preserve">Mejoras reales al producto y al código, pero ninguna expone a alguien a un riesgo si se posponen semanas o meses.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3900"/>
        <w:gridCol w:w="1560"/>
      </w:tblGrid>
      <w:tr>
        <w:trPr>
          <w:tblHeader/>
        </w:trPr>
        <w:tc>
          <w:tcPr>
            <w:tcW w:type="dxa" w:w="500"/>
            <w:shd w:fill="2F6F63" w:val="clear"/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2F6F6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900"/>
            <w:shd w:fill="2F6F6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  <w:tc>
          <w:tcPr>
            <w:tcW w:type="dxa" w:w="1560"/>
            <w:shd w:fill="2F6F6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Migrar a TypeScript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Reduce errores de props a medida que el codebase crece, pero no es bloqueante para un primer lanzamiento.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E4EEE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E4EEEC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Dividir AnclaAppFirebase.jsx en componentes</w:t>
            </w:r>
          </w:p>
        </w:tc>
        <w:tc>
          <w:tcPr>
            <w:tcW w:type="dxa" w:w="3900"/>
            <w:shd w:fill="E4EEEC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Mejora mantenibilidad del código para el equipo, no afecta al usuario final.</w:t>
            </w:r>
          </w:p>
        </w:tc>
        <w:tc>
          <w:tcPr>
            <w:tcW w:type="dxa" w:w="1560"/>
            <w:shd w:fill="E4EEEC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Cargar las fuentes reales vía Google Fonts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Hoy el navegador usa una fuente de sistema de reemplazo — funcional, pero no la identidad visual exacta diseñada.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E4EEE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E4EEEC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Auditoría de accesibilidad completa</w:t>
            </w:r>
          </w:p>
        </w:tc>
        <w:tc>
          <w:tcPr>
            <w:tcW w:type="dxa" w:w="3900"/>
            <w:shd w:fill="E4EEEC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Revisar contraste y roles ARIA en los toggles de Modo Compartido, entre otros puntos.</w:t>
            </w:r>
          </w:p>
        </w:tc>
        <w:tc>
          <w:tcPr>
            <w:tcW w:type="dxa" w:w="1560"/>
            <w:shd w:fill="E4EEEC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Integración bancaria opcional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Mantener siempre la entrada manual como alternativa permanente, nunca como reemplazo, según decisión de producto del Documento Maestro.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E4EEE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61F"/>
                <w:sz w:val="24"/>
                <w:szCs w:val="24"/>
              </w:rPr>
              <w:t xml:space="preserve">☐</w:t>
            </w:r>
          </w:p>
        </w:tc>
        <w:tc>
          <w:tcPr>
            <w:tcW w:type="dxa" w:w="3400"/>
            <w:shd w:fill="E4EEEC" w:val="clear"/>
          </w:tcPr>
          <w:p>
            <w:r>
              <w:rPr>
                <w:rFonts w:ascii="Calibri" w:cs="Calibri" w:eastAsia="Calibri" w:hAnsi="Calibri"/>
                <w:b/>
                <w:bCs/>
                <w:color w:val="22261F"/>
                <w:sz w:val="20"/>
                <w:szCs w:val="20"/>
              </w:rPr>
              <w:t xml:space="preserve">Coach conversacional con IA</w:t>
            </w:r>
          </w:p>
        </w:tc>
        <w:tc>
          <w:tcPr>
            <w:tcW w:type="dxa" w:w="3900"/>
            <w:shd w:fill="E4EEEC" w:val="clear"/>
          </w:tcPr>
          <w:p>
            <w:r>
              <w:rPr>
                <w:rFonts w:ascii="Calibri" w:cs="Calibri" w:eastAsia="Calibri" w:hAnsi="Calibri"/>
                <w:color w:val="22261F"/>
                <w:sz w:val="18"/>
                <w:szCs w:val="18"/>
              </w:rPr>
              <w:t xml:space="preserve">Función de Nivel 3 del roadmap — mejora la experiencia pero no es núcleo del MVP.</w:t>
            </w:r>
          </w:p>
        </w:tc>
        <w:tc>
          <w:tcPr>
            <w:tcW w:type="dxa" w:w="1560"/>
            <w:shd w:fill="E4EEEC" w:val="clear"/>
          </w:tcPr>
          <w:p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34F46" w:sz="10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34F46"/>
          <w:sz w:val="30"/>
          <w:szCs w:val="30"/>
        </w:rPr>
        <w:t xml:space="preserve">Registro de avance</w:t>
      </w:r>
    </w:p>
    <w:p>
      <w:pPr>
        <w:spacing w:after="260" w:line="280"/>
      </w:pPr>
      <w:r>
        <w:rPr>
          <w:rFonts w:ascii="Calibri" w:cs="Calibri" w:eastAsia="Calibri" w:hAnsi="Calibri"/>
          <w:i/>
          <w:iCs/>
          <w:color w:val="6B6F5F"/>
          <w:sz w:val="19"/>
          <w:szCs w:val="19"/>
        </w:rPr>
        <w:t xml:space="preserve">Espacio para llevar control de quién resolvió cada bloqueante y cuándo, antes de habilitar registro público.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34F4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120"/>
            <w:shd w:fill="234F4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120"/>
            <w:shd w:fill="234F4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 completada</w:t>
            </w:r>
          </w:p>
        </w:tc>
      </w:tr>
      <w:tr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</w:tcPr>
          <w:p>
            <w:pPr>
              <w:spacing w:after="200" w:before="200"/>
            </w:pPr>
            <w:r>
              <w:rPr>
                <w:rFonts w:ascii="Calibri" w:cs="Calibri" w:eastAsia="Calibri" w:hAnsi="Calibri"/>
                <w:color w:val="22261F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F5F"/>
        <w:sz w:val="16"/>
        <w:szCs w:val="16"/>
      </w:rPr>
      <w:t xml:space="preserve">Checklist de Lanzamiento — </w:t>
    </w:r>
    <w:r>
      <w:rPr>
        <w:rFonts w:ascii="Calibri" w:cs="Calibri" w:eastAsia="Calibri" w:hAnsi="Calibri"/>
        <w:color w:val="6B6F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FB8" w:sz="4" w:space="4"/>
      </w:pBdr>
      <w:jc w:val="right"/>
    </w:pPr>
    <w:r>
      <w:rPr>
        <w:rFonts w:ascii="Calibri" w:cs="Calibri" w:eastAsia="Calibri" w:hAnsi="Calibri"/>
        <w:color w:val="6B6F5F"/>
        <w:sz w:val="16"/>
        <w:szCs w:val="16"/>
      </w:rPr>
      <w:t xml:space="preserve">ANCLA · </w:t>
    </w:r>
    <w:r>
      <w:rPr>
        <w:rFonts w:ascii="Calibri" w:cs="Calibri" w:eastAsia="Calibri" w:hAnsi="Calibri"/>
        <w:b/>
        <w:bCs/>
        <w:color w:val="2F6F63"/>
        <w:sz w:val="16"/>
        <w:szCs w:val="16"/>
      </w:rPr>
      <w:t xml:space="preserve">tuancla.com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6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2026-07-06T00:44:29.992Z</dcterms:created>
  <dcterms:modified xsi:type="dcterms:W3CDTF">2026-07-06T00:44:30.004Z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