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38BDF8"/>
                <w:sz w:val="20"/>
              </w:rPr>
              <w:t>REVOPS OS  |  ЮРИДИЧЕСКИЙ НАВИГАТОР И РЕЕСТР ДОКУМЕНТОВ</w:t>
              <w:br/>
            </w:r>
            <w:r>
              <w:rPr>
                <w:rFonts w:ascii="Calibri" w:hAnsi="Calibri"/>
                <w:b/>
                <w:color w:val="FFFFFF"/>
                <w:sz w:val="32"/>
              </w:rPr>
              <w:t>Юридический Навигатор и Реестр Документов</w:t>
            </w:r>
          </w:p>
          <w:p>
            <w:r>
              <w:rPr>
                <w:rFonts w:ascii="Calibri" w:hAnsi="Calibri"/>
                <w:color w:val="CBD5E1"/>
                <w:sz w:val="21"/>
              </w:rPr>
              <w:t>Полный юридический комплект RevOps OS для работы с B2B-клиентами (ООО и ИП) // Дмитрий Федотов</w:t>
            </w:r>
          </w:p>
        </w:tc>
      </w:tr>
    </w:tbl>
    <w:p>
      <w:pPr>
        <w:spacing w:after="160"/>
      </w:pPr>
    </w:p>
    <w:p>
      <w:pPr>
        <w:pStyle w:val="Heading1"/>
      </w:pPr>
      <w:r>
        <w:t>Реестр файлов юридического пакета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Файл документа</w:t>
            </w:r>
          </w:p>
        </w:tc>
        <w:tc>
          <w:tcPr>
            <w:tcW w:type="dxa" w:w="3744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Назначение</w:t>
            </w:r>
          </w:p>
        </w:tc>
        <w:tc>
          <w:tcPr>
            <w:tcW w:type="dxa" w:w="2736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Когда использовать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Договор_Оферта_RevOps_OS_Все_Тарифы.docx / .html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Генеральная публичная оферта на все тарифы (Пилот, Старт, Рост, Enterprise). Поддерживает Самозанятого и ИП.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Опубликована на ai-rop.ru/offer.html, ссылка в счетах на оплату.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Договор_Оферта_Пилот_14900.docx / .html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Оферта на быстрый пилот 14 900 ₽ со 100% гарантией возврата при отсутствии оцифрованных точек роста.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Для быстрого старта с новыми заказчиками с гарантией результата.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Бланк_Счета_на_оплату_Пилота_14900.docx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Официальный счет на оплату для юрлиц с реквизитами Т-Банка и назначением платежа без НДС.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Выставляется клиенту после согласия на пилот.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Типовой_Акт_Оказанных_Услуг.docx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Акт сдачи-приемки с перечнем всех оказанных услуг и 3-дневным молчаливым акцептом.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Закрывающий документ для бухгалтерии заказчика.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152-ФЗ_Комплект_Безопасности_RevOps_AI.docx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Положение о безопасности, защите персональных данных, регламент обезличивания аудио и NDA.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Для юристов и Службы Безопасности корпоративных клиентов.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Инструкция_Самозанятый_и_Переход_на_ИП.docx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Мануал для Дмитрия: как работать как самозанятый с ООО, выбивать чеки, и как за 3 дня открыть ИП на УСН 6%.</w:t>
            </w:r>
          </w:p>
        </w:tc>
        <w:tc>
          <w:tcPr>
            <w:tcW w:type="dxa" w:w="273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Внутренняя настольная инструкция основателя.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18"/>
              </w:rPr>
              <w:t>Партнерское_Предложение_Интеграторам_CRM.docx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Коммерческие и юридические условия партнерства с интеграторами amoCRM / Битрикс24 (25–30% комиссия).</w:t>
            </w:r>
          </w:p>
        </w:tc>
        <w:tc>
          <w:tcPr>
            <w:tcW w:type="dxa" w:w="273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Для привлечения партнеров-интеграторов.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F172A"/>
                <w:sz w:val="22"/>
              </w:rPr>
              <w:t>📌 Шпаргалка: Назначение платежа для счета от ООО:</w:t>
              <w:br/>
            </w:r>
            <w:r>
              <w:rPr>
                <w:rFonts w:ascii="Calibri" w:hAnsi="Calibri"/>
                <w:color w:val="334155"/>
                <w:sz w:val="20"/>
              </w:rPr>
              <w:t>«Оплата по Договору-оферте от 02.10.2026 за услуги ИИ-аналитики продаж RevOps OS по Счету № [номер] от [дата]. Без налога (НДС) на основании ст. 15 Федерального закона от 27.11.2018 № 422-ФЗ»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