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46E5"/>
          <w:sz w:val="22"/>
        </w:rPr>
        <w:t>ТЕХНИЧЕСКОЕ ЗАДАНИЕ И АРХИТЕКТУРНЫЙ ПРОЕКТ</w:t>
        <w:br/>
      </w:r>
      <w:r>
        <w:rPr>
          <w:rFonts w:ascii="Arial" w:hAnsi="Arial"/>
          <w:b/>
          <w:color w:val="0F172A"/>
          <w:sz w:val="40"/>
        </w:rPr>
        <w:t>RevOps Enterprise Bot &amp; Automated Role-Based Reporting Engine</w:t>
        <w:br/>
      </w:r>
      <w:r>
        <w:rPr>
          <w:rFonts w:ascii="Arial" w:hAnsi="Arial"/>
          <w:i/>
          <w:color w:val="64748B"/>
          <w:sz w:val="24"/>
        </w:rPr>
        <w:t>Автономная генерация векторных PDF-отчетов по ролям через White-Label Telegram-бота и защищенный контур 152-ФЗ РФ</w:t>
      </w:r>
    </w:p>
    <w:p>
      <w:pPr>
        <w:jc w:val="center"/>
      </w:pPr>
      <w:r>
        <w:rPr>
          <w:color w:val="64748B"/>
          <w:sz w:val="19"/>
        </w:rPr>
        <w:t>Версия: 1.0 (Production Blueprint) • Дата: Сентябрь 2026 • Статус: Утверждено к внедрению под 1-го клиента</w:t>
      </w:r>
    </w:p>
    <w:p>
      <w:r>
        <w:t>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4F46E5"/>
        </w:rPr>
        <w:t>1. Паспорт проекта и коммерческая модель (Unit-экономика)</w:t>
      </w:r>
    </w:p>
    <w:p>
      <w:r>
        <w:rPr>
          <w:sz w:val="21"/>
        </w:rPr>
        <w:t xml:space="preserve">Настоящий документ фиксирует архитектурный стандарт, стек технологий, модель безопасности и план развертывания модуля автоматической доставки отчетов платформы </w:t>
      </w:r>
      <w:r>
        <w:rPr>
          <w:b/>
        </w:rPr>
        <w:t>RevOps Enterprise OS V17.6</w:t>
      </w:r>
      <w:r>
        <w:rPr>
          <w:sz w:val="21"/>
        </w:rPr>
        <w:t>. Модуль предназначен для мгновенного формирования и защищенной доставки векторных C-Level отчетов (PDF) руководителям в Telegram и корпоративные каналы связи.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Компонент контракта</w:t>
            </w:r>
          </w:p>
        </w:tc>
        <w:tc>
          <w:tcPr>
            <w:tcW w:type="dxa" w:w="3216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Стоимость для клиента</w:t>
            </w:r>
          </w:p>
        </w:tc>
        <w:tc>
          <w:tcPr>
            <w:tcW w:type="dxa" w:w="3216"/>
            <w:shd w:val="clear" w:color="auto"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Себестоимость / Инфраструктура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Спринт внедрения (4 недели, разово)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450 000 ₽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0 ₽ (разработка на готовых скриптах)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Абонентское обслуживание / SLA (MRR, ежемесячно)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35 000 – 50 000 ₽ / мес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250 ₽ / мес (VPS в дата-центре РФ)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Маржинальность контракта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99.4%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Чистая прибыль: 449 750 ₽ разово + 49 750 ₽/мес</w:t>
            </w:r>
          </w:p>
        </w:tc>
      </w:tr>
    </w:tbl>
    <w:p/>
    <w:p>
      <w:pPr>
        <w:pStyle w:val="Heading1"/>
      </w:pPr>
      <w:r>
        <w:rPr>
          <w:color w:val="4F46E5"/>
        </w:rPr>
        <w:t>2. Матрица ролевых отчетов (Role-Based Reporting Matrix)</w:t>
      </w:r>
    </w:p>
    <w:p>
      <w:r>
        <w:rPr>
          <w:sz w:val="21"/>
        </w:rPr>
        <w:t>Вместо перегруженных монолитных файлов на 40+ страниц, каждый руководитель получает лаконичный, сфокусированный дайджест строго в рамках своих полномочий: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EF2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>Роль</w:t>
            </w:r>
          </w:p>
        </w:tc>
        <w:tc>
          <w:tcPr>
            <w:tcW w:type="dxa" w:w="2412"/>
            <w:shd w:val="clear" w:color="auto" w:fill="EEF2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>Название отчета</w:t>
            </w:r>
          </w:p>
        </w:tc>
        <w:tc>
          <w:tcPr>
            <w:tcW w:type="dxa" w:w="2412"/>
            <w:shd w:val="clear" w:color="auto" w:fill="EEF2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>Объем</w:t>
            </w:r>
          </w:p>
        </w:tc>
        <w:tc>
          <w:tcPr>
            <w:tcW w:type="dxa" w:w="2412"/>
            <w:shd w:val="clear" w:color="auto" w:fill="EEF2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4F46E5"/>
                <w:sz w:val="19"/>
              </w:rPr>
              <w:t>Содержимое и ключевые метрики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CEO / Собственник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Executive Strategy &amp; Capital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 слайда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Run-Rate прогноз, коридор Монте-Карло 95% (P10/P50/P90), ROMI, LTV/CAC, окупаемость спринта (ROI +367%).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РОП / Коммерческий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Sales Ops &amp; SLA Action Deck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 слайда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Пульт «15 минут», радар срывов SLA (312ч КП, 708ч Договор), Top-5 рисков (4.3M ₽), брак звонков Whisper AI (&lt;9.0).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CFO / Финдиректор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Cash Flow &amp; DSO Liquidity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 слайда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Платежный календарь Cash-In, зависшая дебиторка &gt;20 дней (счет INV-203), DSO 6 дней, юнит-экономика.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CMO / Маркетолог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Attribution &amp; Funnel Inflow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 слайда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Мультиканальная сквозная атрибуция (Директ, Таргет, Партнеры), ROMI когорт, стоимость лида, конверсия квалификации.</w:t>
            </w:r>
          </w:p>
        </w:tc>
      </w:tr>
    </w:tbl>
    <w:p/>
    <w:p>
      <w:pPr>
        <w:pStyle w:val="Heading1"/>
      </w:pPr>
      <w:r>
        <w:rPr>
          <w:color w:val="4F46E5"/>
        </w:rPr>
        <w:t>3. Безопасность, коммерческая тайна и соответствие 152-ФЗ РФ</w:t>
      </w:r>
    </w:p>
    <w:p>
      <w:r>
        <w:rPr>
          <w:sz w:val="21"/>
        </w:rPr>
        <w:t>Критический анализ юридических и технических рисков передачи данных через Telegram:</w:t>
      </w:r>
    </w:p>
    <w:p>
      <w:pPr>
        <w:pStyle w:val="ListBullet"/>
      </w:pPr>
      <w:r>
        <w:rPr>
          <w:b/>
          <w:sz w:val="20"/>
        </w:rPr>
        <w:t>Проблема трансграничной передачи:</w:t>
      </w:r>
      <w:r>
        <w:rPr>
          <w:sz w:val="20"/>
        </w:rPr>
        <w:t xml:space="preserve"> Серверы Telegram находятся в ОАЭ, Нидерландах и Сингапуре. Прямая пересылка финансовых файлов нарушает закон № 152-ФЗ и требования ИБ корпоративных заказчиков.</w:t>
      </w:r>
    </w:p>
    <w:p>
      <w:pPr>
        <w:pStyle w:val="ListBullet"/>
      </w:pPr>
      <w:r>
        <w:rPr>
          <w:b/>
          <w:sz w:val="20"/>
        </w:rPr>
        <w:t>Архитектурное решение Zero-Trust:</w:t>
      </w:r>
      <w:r>
        <w:rPr>
          <w:sz w:val="20"/>
        </w:rPr>
        <w:t xml:space="preserve"> Telegram-бот используется исключительно как интерфейс управления и доставки одноразовых защищенных ссылок. Сам PDF-файл генерируется в защищенном российском контуре и не покидает периметр РФ.</w:t>
      </w:r>
    </w:p>
    <w:p>
      <w:pPr>
        <w:pStyle w:val="ListBullet"/>
      </w:pPr>
      <w:r>
        <w:rPr>
          <w:b/>
          <w:sz w:val="20"/>
        </w:rPr>
        <w:t>Механизм доступа:</w:t>
      </w:r>
      <w:r>
        <w:rPr>
          <w:sz w:val="20"/>
        </w:rPr>
        <w:t xml:space="preserve"> Пользователь нажимает кнопку в Telegram -&gt; получает защищенную ссылку вида https://reports.client.ru/view?token=... со сроком жизни 10 минут и авторизацией по корпоративному SSO.</w:t>
      </w:r>
    </w:p>
    <w:p>
      <w:pPr>
        <w:pStyle w:val="ListBullet"/>
      </w:pPr>
      <w:r>
        <w:rPr>
          <w:b/>
          <w:sz w:val="20"/>
        </w:rPr>
        <w:t>Cryptographic PII Masking:</w:t>
      </w:r>
      <w:r>
        <w:rPr>
          <w:sz w:val="20"/>
        </w:rPr>
        <w:t xml:space="preserve"> Во всех аналитических слоях автоматически маскируются персональные данные: телефоны клиентов (+7 999 ***-12), реквизиты и ФИО менеджеров в соответствии с профилем доступа.</w:t>
      </w:r>
    </w:p>
    <w:p/>
    <w:p>
      <w:pPr>
        <w:pStyle w:val="Heading1"/>
      </w:pPr>
      <w:r>
        <w:rPr>
          <w:color w:val="4F46E5"/>
        </w:rPr>
        <w:t>4. Техническая архитектура и инфраструктура (Production Stack)</w:t>
      </w:r>
    </w:p>
    <w:p>
      <w:r>
        <w:rPr>
          <w:sz w:val="21"/>
        </w:rPr>
        <w:t>Спецификация стека компонентов: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Уровень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Технология</w:t>
            </w:r>
          </w:p>
        </w:tc>
        <w:tc>
          <w:tcPr>
            <w:tcW w:type="dxa" w:w="3216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Назначение и параметры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Инфраструктура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Российский VPS (Selectel / Timeweb)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 vCPU, 2 GB RAM, Ubuntu 24.04 LTS. Сервер физически в РФ (Москва). Стоимость: 250 ₽/мес.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Интерфейс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White-Label Telegram Bot (aiogram 3.x)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Webhook с SSL Let's Encrypt. Персональный бот под брендом заказчика (@Client_RevOps_Bot).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Генератор PDF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Chrome Headless (--headless=new)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Встроенные векторные шрифты Inter + Playfair Display, символ ₽, SVG-графика, In-DOM CSS Footer.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Оптимизация квот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Google Sheets API (batchGet)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 пакетный запрос вместо 45 отдельных. Кэш данных в оперативной памяти с TTL 5 минут.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Кэширование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In-Memory LRU Cache (Python)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Мгновенная отдача отчетов (&lt;0.05 сек) при повторных кликах без нагрузки на процессор.</w:t>
            </w:r>
          </w:p>
        </w:tc>
      </w:tr>
      <w:tr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Аудит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Лист Audit_Log в Таблице</w:t>
            </w:r>
          </w:p>
        </w:tc>
        <w:tc>
          <w:tcPr>
            <w:tcW w:type="dxa" w:w="32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Логирование даты, времени, роли и Telegram ID пользователя по каждому запросу.</w:t>
            </w:r>
          </w:p>
        </w:tc>
      </w:tr>
    </w:tbl>
    <w:p/>
    <w:p>
      <w:pPr>
        <w:pStyle w:val="Heading1"/>
      </w:pPr>
      <w:r>
        <w:rPr>
          <w:color w:val="4F46E5"/>
        </w:rPr>
        <w:t>5. План развертывания под первого клиента (Roadmap 4 Недели)</w:t>
      </w:r>
    </w:p>
    <w:p>
      <w:pPr>
        <w:pStyle w:val="ListBullet"/>
      </w:pPr>
      <w:r>
        <w:rPr>
          <w:b/>
          <w:sz w:val="20"/>
        </w:rPr>
        <w:t xml:space="preserve">Неделя 1: Развертывание контура (Инфраструктура): </w:t>
      </w:r>
      <w:r>
        <w:rPr>
          <w:sz w:val="20"/>
        </w:rPr>
        <w:t>Аренда VPS в РФ, установка Docker, Chromium, Python 3.12, настройка SSL-сертификата и Webhook.</w:t>
      </w:r>
    </w:p>
    <w:p>
      <w:pPr>
        <w:pStyle w:val="ListBullet"/>
      </w:pPr>
      <w:r>
        <w:rPr>
          <w:b/>
          <w:sz w:val="20"/>
        </w:rPr>
        <w:t xml:space="preserve">Неделя 2: Интеграция с источником данных: </w:t>
      </w:r>
      <w:r>
        <w:rPr>
          <w:sz w:val="20"/>
        </w:rPr>
        <w:t>Подключение Google Sheets API через Service Account, настройка batchGet диапазонов, верификация данных калькулятора и воронки.</w:t>
      </w:r>
    </w:p>
    <w:p>
      <w:pPr>
        <w:pStyle w:val="ListBullet"/>
      </w:pPr>
      <w:r>
        <w:rPr>
          <w:b/>
          <w:sz w:val="20"/>
        </w:rPr>
        <w:t xml:space="preserve">Неделя 3: Создание White-Label бота и безопасность: </w:t>
      </w:r>
      <w:r>
        <w:rPr>
          <w:sz w:val="20"/>
        </w:rPr>
        <w:t>Регистрация @Client_RevOps_Bot в @BotFather, загрузка корпоративного логотипа, добавление Telegram ID топ-менеджеров в белый список.</w:t>
      </w:r>
    </w:p>
    <w:p>
      <w:pPr>
        <w:pStyle w:val="ListBullet"/>
      </w:pPr>
      <w:r>
        <w:rPr>
          <w:b/>
          <w:sz w:val="20"/>
        </w:rPr>
        <w:t xml:space="preserve">Неделя 4: Тестирование, обучение и подписание SLA: </w:t>
      </w:r>
      <w:r>
        <w:rPr>
          <w:sz w:val="20"/>
        </w:rPr>
        <w:t>Прогон 118 тестов регрессии, демонстрация собственнику и РОПу, сдача проекта, подписание договора ежемесячной техподдержки на 35 000 – 50 000 ₽/мес.</w:t>
      </w:r>
    </w:p>
    <w:p/>
    <w:p>
      <w:pPr>
        <w:pStyle w:val="Heading1"/>
      </w:pPr>
      <w:r>
        <w:rPr>
          <w:color w:val="4F46E5"/>
        </w:rPr>
        <w:t>6. Резюме для коммерческого использования</w:t>
      </w:r>
    </w:p>
    <w:p>
      <w:r>
        <w:rPr>
          <w:sz w:val="21"/>
        </w:rPr>
        <w:t xml:space="preserve">Данный пакет решений полностью готов к коммерциализации. Он решает главную проблему Enterprise-клиента: </w:t>
      </w:r>
      <w:r>
        <w:rPr>
          <w:b/>
          <w:sz w:val="21"/>
        </w:rPr>
        <w:t>руководитель получает доступ к глубокой финансовой аналитике за 1 клик со смартфона, при этом компания на 100% защищена от юридических рисков и утечек персональных данных.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