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Protokoll Team3 22.10.2015 11:00-12:00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Aufteilung: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 Need to Know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Währungsverhältnisse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Verhaltensregeln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 Forum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"Schwarzes Brett"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Ausstausch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 Suche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Supermärkte u. 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Was bekomme ich wo?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 Karte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Wegführung halt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  <w:tab/>
        <w:t xml:space="preserve">Kleiner Ratgeber zu allem erdänklichen in Deutschland.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Diese Informationen sind größtenteils bereits vorhanden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und müssten nur gesammelt werden.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Aufbereitet werden die Informationen als Link-Sammlung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und Einbindung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Forum zum Ausstausch unter den Usern, Möglichkeit zur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Kommunikation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  <w:tab/>
        <w:t xml:space="preserve">Gesammelte und aufbereitete Informationen zu der Frage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"Was bekomme ich wo?" im Bezug auf Nahrungsmittel,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Kleidung und anderes. Evtl. inkl. Rating bezüglich Kosten.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  <w:tab/>
        <w:t xml:space="preserve">Karte zur Navigation, eingebunden in Punkte 1 u.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