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Программа геометрического сопоставления и сравнения областей</w:t>
      </w:r>
    </w:p>
    <w:p>
      <w:r>
        <w:t>ТЗ 02. Программа P2 geometric для разделов 3.3–3.4 и геометрических абляций</w:t>
      </w:r>
    </w:p>
    <w:p>
      <w:r>
        <w:t>Редакция 1.0 от 23 октября 2026 года. Численные настройки ниже являются назначенным проектным протоколом, а не опубликованными результатами или доказанно оптимальными параметрами.</w:t>
      </w:r>
    </w:p>
    <w:p>
      <w:pPr>
        <w:pStyle w:val="Heading1"/>
      </w:pPr>
      <w:r>
        <w:t>1 Назначение и два режима оценки</w:t>
      </w:r>
    </w:p>
    <w:p>
      <w:r>
        <w:t>Реализовать конвейер локальные признаки → предварительные соответствия → RANSAC → проверки модели → совмещение → общая область → характеристики участков → решение с возможностью отказа. Методика должна работать без знания истинной гомографии и без маски дефекта. GT доступен только оценщику.</w:t>
      </w:r>
    </w:p>
    <w:p>
      <w:r>
        <w:rPr>
          <w:b/>
        </w:rPr>
        <w:t xml:space="preserve">ГЕОМ-01 </w:t>
      </w:r>
      <w:r>
        <w:t>Режим geometry на HPatches проверяет соответствия и преобразование. Режим inspection на MVTec AD проверяет конечное решение об отсутствии обнаруживаемого изменения. q_geom, q_align, q_cmp и y_pred хранить раздельно. Принятая гомография не означает соответствия состояния объекта.</w:t>
      </w:r>
    </w:p>
    <w:p>
      <w:pPr>
        <w:pStyle w:val="Heading1"/>
      </w:pPr>
      <w:r>
        <w:t>2 HPatches и контролируемые геометрические воздействия</w:t>
      </w:r>
    </w:p>
    <w:p>
      <w:r>
        <w:t>Использовать полные последовательности HPatches, включая изображения и матрицы преобразования [HPatches]. i_- и v_-последовательности оценивать раздельно. Разбиение по ТЗ 00. Для пары E=image1, I=imagej матрица из файла H_1_j действует из E в I; рабочее преобразование I → E должно быть обратным. Направление обязательно проверить проекцией известных точек, не угадывать по имени файла.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Sup>
          <m:e>
            <m:r>
              <m:t>H</m:t>
            </m:r>
          </m:e>
          <m:sub>
            <m:r>
              <m:t>I</m:t>
            </m:r>
            <m:r>
              <m:rPr>
                <m:sty m:val="p"/>
              </m:rPr>
              <m:t>→</m:t>
            </m:r>
            <m:r>
              <m:t>E</m:t>
            </m:r>
          </m:sub>
          <m:sup>
            <m:r>
              <m:t>g</m:t>
            </m:r>
            <m:r>
              <m:t>t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H</m:t>
                    </m:r>
                  </m:e>
                  <m:sub>
                    <m:r>
                      <m:t>1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j</m:t>
                    </m:r>
                  </m:sub>
                  <m:sup>
                    <m:r>
                      <m:t>g</m:t>
                    </m:r>
                    <m:r>
                      <m:t>t</m:t>
                    </m:r>
                  </m:sup>
                </m:sSub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r>
          <m:t>  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w</m:t>
                    </m:r>
                  </m:e>
                </m:d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/</m:t>
                </m:r>
                <m:r>
                  <m:t>w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/</m:t>
                </m:r>
                <m:r>
                  <m:t>w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.</m:t>
        </m:r>
      </m:oMath>
      <w:r>
        <w:tab/>
      </w:r>
      <w:r>
        <w:t>(Г-1)</w:t>
      </w:r>
    </w:p>
    <w:p>
      <w:r>
        <w:t>Нормализация однородных координат запрещена при |w|≤ε. Фактический формат файла загрузчик проверяет и сохраняет в manifest.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3969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5EAF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Фактор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5EAF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Сетка испытаний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5EAF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Условия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Поворот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0°, ±15°, ±30°, ±60°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Центр изображения; размер canvas неизменен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Масштаб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0.5; 0.75; 1; 1.25; 1.5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Относительно центра; видимость считается явно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Аффинный сдвиг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shear x = −0.2; −0.1; 0; 0.1; 0.2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Остальные параметры единичные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Перспектива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смещение углов 0; 0.03; 0.06; 0.10 диагонали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Пять seeds; повторная генерация при самопересечении или смене ориентации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Окклюзия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0; 0.10; 0.25; 0.40 площади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Один прямоугольник; known-mask и unknown-mask — разные режимы</w:t>
            </w:r>
          </w:p>
        </w:tc>
      </w:tr>
    </w:tbl>
    <w:p>
      <w:pPr>
        <w:spacing w:after="0"/>
      </w:pPr>
    </w:p>
    <w:p>
      <w:r>
        <w:t>Для перспективы независимо смещать каждую координату каждого угла равномерно в [−rD,rD], где D — диагональ исходного изображения. Для shear применять матрицу [[1,k,0],[0,1,0],[0,0,1]] относительно центра. Окклюдер имеет случайный центр и отношение сторон из {0.5,1,2}; фактическую дискретную площадь сохранять. Каждый фактор изменяется отдельно. Дополнительный фиксированный комбинированный опыт: поворот ±15°, масштаб из {0.75,1.25}, яркость b из {−0.1,0.1}, окклюзия 0.1. Не запускать полный декартов продукт всех сеток. Генератор сохраняет seed и итоговую матрицу, число попыток и фактическую долю видимости.</w:t>
      </w:r>
    </w:p>
    <w:p>
      <w:r>
        <w:t>Для каждого HPatches-запроса дополнительно сформировать одну отрицательную пару с эталоном другой последовательности той же части, seed=2026. Её gt_H=null; геометрические ошибки для неё не определены. Отказы и ложное принятие модели на таких парах считаются отдельно от точности на положительных парах. Для геометрической калибровки перебрать τr∈{0.65,0.75,0.85}, nmin∈{4,8,12,20}, cmin∈{0,0.05,0.10,0.20}; остальные пороги фиксированы. Максимизировать долю всех положительных пар с q_geom=1 и e_H≤3 px при доле q_geom=1 на отрицательных ≤0.05. При равенстве — меньше ложных принятий, затем более строгие nmin и cmin, затем меньший τr. После выбора заморозить конфигурацию. Начальный профиль ниже нужен для smoke; он не считается оптимальным заранее.</w:t>
      </w:r>
    </w:p>
    <w:p>
      <w:pPr>
        <w:pStyle w:val="Heading1"/>
      </w:pPr>
      <w:r>
        <w:t>3 Признаки и предварительные пары</w:t>
      </w:r>
    </w:p>
    <w:p>
      <w:r>
        <w:rPr>
          <w:b/>
        </w:rPr>
        <w:t xml:space="preserve">ГЕОМ-02 </w:t>
      </w:r>
      <w:r>
        <w:t>Обязательные методы — OpenCV SIFT и ORB. Базовый лимит 2 000 точек на изображение; длинная сторона рабочего изображения не более 1 024 пикселей, только уменьшение с сохранением пропорций. Все коэффициенты A_I и A_E сохранять. Для SIFT — L2, для ORB при WTA_K=2 — Hamming. Ключевые точки получать на яркостном представлении, RGB сохранять для сравнения областей.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acc>
          <m:accPr>
            <m:chr m:val="̂"/>
          </m:accPr>
          <m:e>
            <m:r>
              <m:rPr>
                <m:sty m:val="b"/>
              </m:rPr>
              <m:t>H</m:t>
            </m:r>
          </m:e>
        </m:acc>
        <m:r>
          <m:rPr>
            <m:sty m:val="p"/>
          </m:rPr>
          <m:t>=</m:t>
        </m:r>
        <m:sSubSup>
          <m:e>
            <m:r>
              <m:rPr>
                <m:sty m:val="b"/>
              </m:rPr>
              <m:t>A</m:t>
            </m:r>
          </m:e>
          <m:sub>
            <m:r>
              <m:t>E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H</m:t>
                </m:r>
              </m:e>
            </m:acc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k</m:t>
            </m:r>
          </m:sub>
        </m:sSub>
        <m:sSub>
          <m:e>
            <m:r>
              <m:rPr>
                <m:sty m:val="b"/>
              </m:rP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.</m:t>
        </m:r>
      </m:oMath>
      <w:r>
        <w:tab/>
      </w:r>
      <w:r>
        <w:t>(Г2-102)</w:t>
      </w:r>
    </w:p>
    <w:p>
      <w:r>
        <w:t>A_I и A_E включают resize и crop, если он есть. После пересчёта пороги геометрических ошибок выражаются в пикселях исходного эталона.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{"/>
            <m:endChr m:val="}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e>
            </m:d>
            <m:r>
              <m:rPr>
                <m:sty m:val="p"/>
              </m:rPr>
              <m:t>:</m:t>
            </m:r>
            <m:r>
              <m:t>j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p"/>
                  </m:rPr>
                  <m:t>NN</m:t>
                </m:r>
              </m:e>
              <m:sub>
                <m:r>
                  <m:t>E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  <m:r>
              <m:rPr>
                <m:sty m:val="p"/>
              </m:rPr>
              <m:t>,</m:t>
            </m:r>
            <m:r>
              <m:t> </m:t>
            </m:r>
            <m:r>
              <m:t>i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p"/>
                  </m:rPr>
                  <m:t>NN</m:t>
                </m:r>
              </m:e>
              <m:sub>
                <m:r>
                  <m:t>I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j</m:t>
                </m:r>
              </m:e>
            </m:d>
            <m:r>
              <m:rPr>
                <m:sty m:val="p"/>
              </m:rPr>
              <m:t>,</m:t>
            </m:r>
            <m:r>
              <m:t> </m:t>
            </m:r>
            <m:sSub>
              <m:e>
                <m:r>
                  <m:t>r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&lt;</m:t>
            </m:r>
            <m:sSub>
              <m:e>
                <m:r>
                  <m:t>τ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sub>
            </m:sSub>
            <m:r>
              <m:rPr>
                <m:sty m:val="p"/>
              </m:rPr>
              <m:t>&gt;</m:t>
            </m:r>
            <m:r>
              <m:t>0</m:t>
            </m:r>
          </m:e>
        </m:d>
        <m:r>
          <m:rPr>
            <m:sty m:val="p"/>
          </m:rPr>
          <m:t>,</m:t>
        </m:r>
        <m:r>
          <m:t>  </m:t>
        </m:r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b>
            </m:sSub>
          </m:num>
          <m:den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sub>
            </m:sSub>
          </m:den>
        </m:f>
        <m:r>
          <m:rPr>
            <m:sty m:val="p"/>
          </m:rPr>
          <m:t>,</m:t>
        </m:r>
      </m:oMath>
      <w:r>
        <w:tab/>
      </w:r>
      <w:r>
        <w:t>(Г2-103)</w:t>
      </w:r>
    </w:p>
    <w:p>
      <w:r>
        <w:t>В каждом направлении искать двух соседей. Базовый τr=0.75; кандидаты validation {0.65,0.75,0.85}. Если соседей меньше двух или второе расстояние нулевое — отвергнуть назначение. Сначала ratio-test, затем взаимность. Равные лучшие расстояния разбирать по индексу точки; одна точка входит не более чем в одну пару.</w:t>
      </w:r>
    </w:p>
    <w:p>
      <w:r>
        <w:rPr>
          <w:b/>
        </w:rPr>
        <w:t xml:space="preserve">ГЕОМ-03 </w:t>
      </w:r>
      <w:r>
        <w:t>Современный обучаемый сравнительный метод — отдельный адаптер SuperPoint с официальными предобученными весами [SuperPoint], L2 и той же геометрической проверкой. Это сравнительный компонент, не код авторской статьи пользователя. Можно изолировать зависимость PyTorch в отдельном окружении; TensorFlow остаётся основой P3. Весам назначить URL, SHA-256, лицензию и commit; при недоступности сохранить NOT_RUN, а не заменять SIFT под другим названием.</w:t>
      </w:r>
    </w:p>
    <w:p>
      <w:pPr>
        <w:pStyle w:val="Heading1"/>
      </w:pPr>
      <w:r>
        <w:t>4 Оценивание и принятие гомографии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H</m:t>
            </m:r>
          </m:e>
        </m:d>
        <m:r>
          <m:rPr>
            <m:sty m:val="p"/>
          </m:rPr>
          <m:t>=</m:t>
        </m:r>
        <m:sSub>
          <m:e>
            <m:d>
              <m:dPr>
                <m:begChr m:val="∥"/>
                <m:endChr m:val="∥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t>​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b"/>
                      </m:rPr>
                      <m:t>H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rPr>
                                <m:sty m:val="b"/>
                              </m:rPr>
                              <m:t>x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</m:d>
          </m:e>
          <m:sub>
            <m:r>
              <m:t>2</m:t>
            </m:r>
          </m:sub>
        </m:sSub>
        <m:r>
          <m:rPr>
            <m:sty m:val="p"/>
          </m:rPr>
          <m:t>.</m:t>
        </m:r>
      </m:oMath>
      <w:r>
        <w:tab/>
      </w:r>
      <w:r>
        <w:t>(Г2-104)</w:t>
      </w:r>
    </w:p>
    <w:p>
      <w:r>
        <w:t>x_i — точка I, u_j — точка E. Ошибка односторонняя в системе E. Остаток относительно найденной H не использовать как доказательство корректности относительно GT.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H</m:t>
            </m:r>
          </m:e>
        </m:d>
        <m:r>
          <m:rPr>
            <m:sty m:val="p"/>
          </m:rPr>
          <m:t>=</m:t>
        </m:r>
        <m:d>
          <m:dPr>
            <m:begChr m:val="{"/>
            <m:endChr m:val="}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e>
            </m:d>
            <m:r>
              <m:rPr>
                <m:sty m:val="p"/>
              </m:rPr>
              <m:t>∈</m:t>
            </m:r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: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b"/>
                  </m:rPr>
                  <m:t>H</m:t>
                </m:r>
              </m:e>
            </m:d>
            <m:r>
              <m:rPr>
                <m:sty m:val="p"/>
              </m:rPr>
              <m:t>≤</m:t>
            </m:r>
            <m:sSub>
              <m:e>
                <m:r>
                  <m:t>ε</m:t>
                </m:r>
              </m:e>
              <m:sub>
                <m:r>
                  <m:t>g</m:t>
                </m:r>
              </m:sub>
            </m:sSub>
          </m:e>
        </m:d>
        <m:r>
          <m:rPr>
            <m:sty m:val="p"/>
          </m:rPr>
          <m:t>,</m:t>
        </m:r>
      </m:oMath>
      <w:r>
        <w:tab/>
      </w:r>
      <w:r>
        <w:t>(Г2-105)</w:t>
      </w:r>
    </w:p>
    <w:p>
      <w:r>
        <w:t>Основной εg=3 пикселя исходного E; sensitivity {1,3,5}. Проверки на разных разрешениях не смешивать без пересчёта.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H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limLow>
          <m:e>
            <m:r>
              <m:rPr>
                <m:sty m:val="p"/>
              </m:rPr>
              <m:t>arg max</m:t>
            </m:r>
          </m:e>
          <m:lim>
            <m:r>
              <m:rPr>
                <m:sty m:val="b"/>
              </m:rPr>
              <m:t>H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ty m:val="p"/>
                    <m:scr m:val="script"/>
                  </m:rPr>
                  <m:t>H</m:t>
                </m:r>
              </m:e>
              <m: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d</m:t>
                </m:r>
              </m:sub>
            </m:sSub>
          </m:lim>
        </m:limLow>
        <m:sSub>
          <m:e>
            <m:d>
              <m:dPr>
                <m:begChr m:val="("/>
                <m:endChr m:val=")"/>
                <m:sepChr m:val=""/>
                <m:grow/>
              </m:dPr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rPr>
                            <m:sty m:val="p"/>
                            <m:scr m:val="script"/>
                          </m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b"/>
                          </m:rPr>
                          <m:t>H</m:t>
                        </m:r>
                      </m:e>
                    </m:d>
                  </m:e>
                </m:d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e>
                    </m:d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ty m:val="p"/>
                            <m:scr m:val="script"/>
                          </m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b"/>
                          </m:rPr>
                          <m:t>H</m:t>
                        </m:r>
                      </m:e>
                    </m:d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e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  <m:sup>
                        <m:r>
                          <m:t> </m:t>
                        </m:r>
                        <m:r>
                          <m:t>2</m:t>
                        </m:r>
                      </m:sup>
                    </m:sSubSup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b"/>
                      </m:rPr>
                      <m:t>H</m:t>
                    </m:r>
                  </m:e>
                </m:d>
              </m:e>
            </m:d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,</m:t>
        </m:r>
      </m:oMath>
      <w:r>
        <w:tab/>
      </w:r>
      <w:r>
        <w:t>(Г2-106)</w:t>
      </w:r>
    </w:p>
    <w:p>
      <w:r>
        <w:t>Обязательная реализация RANSAC: выборки по четыре уникальные пары, отбрасывание коллинеарных/вырожденных конфигураций, нормализованный DLT; лексикографический выбор по числу инлаеров и затем сумме их квадратов ошибок. Лимит 5 000 попыток; целевая вероятность 0.999. Регистрировать число попыток, в том числе вырожденных. Адаптивное сокращение бюджета допускается только с протоколированием.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acc>
          <m:accPr>
            <m:chr m:val="̂"/>
          </m:accPr>
          <m:e>
            <m:r>
              <m:rPr>
                <m:sty m:val="b"/>
              </m:rPr>
              <m:t>H</m:t>
            </m:r>
          </m:e>
        </m:acc>
        <m:r>
          <m:rPr>
            <m:sty m:val="p"/>
          </m:rPr>
          <m:t>∈</m:t>
        </m:r>
        <m:limLow>
          <m:e>
            <m:r>
              <m:rPr>
                <m:sty m:val="p"/>
              </m:rPr>
              <m:t>arg min</m:t>
            </m:r>
          </m:e>
          <m:lim>
            <m:r>
              <m:rPr>
                <m:sty m:val="b"/>
              </m:rPr>
              <m:t>H</m:t>
            </m:r>
          </m:lim>
        </m:limLow>
        <m:nary>
          <m:naryPr>
            <m:chr m:val="∑"/>
            <m:limLoc m:val="undOvr"/>
            <m:subHide m:val="off"/>
            <m:supHide m:val="on"/>
          </m:naryPr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e>
            </m:d>
            <m:r>
              <m:rPr>
                <m:sty m:val="p"/>
              </m:rPr>
              <m:t>∈</m:t>
            </m:r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"/>
                          </m:rPr>
                          <m:t>H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</m:e>
            </m:d>
          </m:sub>
          <m:sup>
            <m:r>
              <m:t>​</m:t>
            </m:r>
          </m:sup>
          <m:e>
            <m:sSubSup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  <m:sup>
                <m:r>
                  <m:t> </m:t>
                </m:r>
                <m:r>
                  <m:t>2</m:t>
                </m:r>
              </m:sup>
            </m:sSubSup>
          </m:e>
        </m:nary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H</m:t>
            </m:r>
          </m:e>
        </m:d>
        <m:r>
          <m:rPr>
            <m:sty m:val="p"/>
          </m:rPr>
          <m:t>.</m:t>
        </m:r>
      </m:oMath>
      <w:r>
        <w:tab/>
      </w:r>
      <w:r>
        <w:t>(Г2-107)</w:t>
      </w:r>
    </w:p>
    <w:p>
      <w:r>
        <w:t>Уточнение — scipy.optimize.least_squares суммы квадратов двух координатных остатков на фиксированных инлаерах победившей гипотезы, loss=linear, max_nfev=100. Масштаб H фиксировать по наибольшему по модулю элементу; оптимизировать остальные восемь. После уточнения пересчитать инлаеры один раз. Неухудшение целевой суммы и допустимость H проверить, иначе оставить исходную допустимую гипотезу и записать REFINE_FAILED.</w:t>
      </w:r>
    </w:p>
    <w:p>
      <w:r>
        <w:t>OpenCV findHomography разрешён как отдельный baseline [OpenCV]; его внутреннее разрешение равенств не выдавать за реализацию правила Г2-106. Обязательная математическая ветвь должна иметь явный tie-break и контролируемый список гипотез.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ty m:val="b"/>
                      </m:rPr>
                      <m:t>H</m:t>
                    </m:r>
                  </m:e>
                </m:acc>
              </m:e>
            </m:d>
          </m:e>
        </m:d>
        <m:r>
          <m:rPr>
            <m:sty m:val="p"/>
          </m:rPr>
          <m:t>,</m:t>
        </m:r>
        <m:r>
          <m:t>  </m:t>
        </m:r>
        <m:sSub>
          <m:e>
            <m:r>
              <m:t>ρ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</m:sub>
            </m:sSub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rPr>
                        <m:sty m:val="p"/>
                        <m:scr m:val="script"/>
                      </m:rPr>
                      <m:t>M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den>
        </m:f>
        <m:r>
          <m:rPr>
            <m:sty m:val="p"/>
          </m:rPr>
          <m:t>,</m:t>
        </m:r>
        <m:r>
          <m:t>  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</m:oMath>
      <w:r>
        <w:tab/>
      </w:r>
      <w:r>
        <w:t>(Г2-108)</w:t>
      </w:r>
    </w:p>
    <w:p>
      <w:r>
        <w:t>Доля инлаеров считается от числа предварительных пар; отсутствие пар — отдельная причина отказа.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Area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rPr>
                    <m:sty m:val="p"/>
                  </m:rPr>
                  <m:t>conv</m:t>
                </m:r>
                <m:d>
                  <m:dPr>
                    <m:begChr m:val="{"/>
                    <m:endChr m:val="}"/>
                    <m:sepChr m:val="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: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e>
                    </m:d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ty m:val="p"/>
                            <m:scr m:val="script"/>
                          </m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∩</m:t>
                </m:r>
                <m:sSub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num>
          <m:den>
            <m:r>
              <m:rPr>
                <m:sty m:val="p"/>
              </m:rPr>
              <m:t>Area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  <m:r>
          <m:rPr>
            <m:sty m:val="p"/>
          </m:rPr>
          <m:t>,</m:t>
        </m:r>
        <m:r>
          <m:t>  </m:t>
        </m:r>
        <m:sSub>
          <m:e>
            <m:r>
              <m:t>c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Area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rPr>
                    <m:sty m:val="p"/>
                  </m:rPr>
                  <m:t>conv</m:t>
                </m:r>
                <m:d>
                  <m:dPr>
                    <m:begChr m:val="{"/>
                    <m:endChr m:val="}"/>
                    <m:sepChr m:val=""/>
                    <m:grow/>
                  </m:dPr>
                  <m:e>
                    <m:sSub>
                      <m:e>
                        <m:r>
                          <m:rPr>
                            <m:sty m:val="b"/>
                          </m:rPr>
                          <m:t>u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: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e>
                    </m:d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ty m:val="p"/>
                            <m:scr m:val="script"/>
                          </m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∩</m:t>
                </m:r>
                <m:sSub>
                  <m:e>
                    <m:r>
                      <m:t>R</m:t>
                    </m:r>
                  </m:e>
                  <m:sub>
                    <m:r>
                      <m:t>E</m:t>
                    </m:r>
                  </m:sub>
                </m:sSub>
              </m:e>
            </m:d>
          </m:num>
          <m:den>
            <m:r>
              <m:rPr>
                <m:sty m:val="p"/>
              </m:rPr>
              <m:t>Area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R</m:t>
                    </m:r>
                  </m:e>
                  <m:sub>
                    <m:r>
                      <m:t>E</m:t>
                    </m:r>
                  </m:sub>
                </m:sSub>
              </m:e>
            </m:d>
          </m:den>
        </m:f>
        <m:r>
          <m:rPr>
            <m:sty m:val="p"/>
          </m:rPr>
          <m:t>,</m:t>
        </m:r>
      </m:oMath>
      <w:r>
        <w:tab/>
      </w:r>
      <w:r>
        <w:t>(Г2-109)</w:t>
      </w:r>
    </w:p>
    <w:p>
      <w:r>
        <w:t>Базовые R_I и R_E — прямоугольники полных изображений. Выпуклую оболочку отсекать по ROI; площади считать в одной системе координат. Для маски сложной формы алгоритм пересечения должен быть указан отдельно.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 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med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: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e>
                      </m:d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ty m:val="p"/>
                              <m:scr m:val="script"/>
                            </m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n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d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 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H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,</m:t>
        </m:r>
      </m:oMath>
      <w:r>
        <w:tab/>
      </w:r>
      <w:r>
        <w:t>(Г2-110)</w:t>
      </w:r>
    </w:p>
    <w:p>
      <w:r>
        <w:t>Основной профиль: nmin=12, ρmin=0.25, εmed=2 px, cI,min=cE,min=0.10. Для H_adm: все параметры конечны, матрица обратима; в нормализованных координатах condition number ≤10¹⁰; знаменатели в углах ROI одного знака и не меньше 10⁻⁸ по модулю после нормирования H. Эти значения — начальный проектный профиль, sensitivity выбирается на validation.</w:t>
      </w:r>
    </w:p>
    <w:p>
      <w:r>
        <w:t>Для численной проверки H отображать координаты каждого изображения в [−1,1] × [−1,1] посредством N(W,H): x′=2x/(W−1)−1, y′=2y/(H−1)−1; condition number считать для N_E H N_I⁻¹. Размеры ≤1 пикселя недопустимы. Проверить знаки локального якобиана и отсутствие самопересечения перенесённого контура; для синтетических опытов допускаемый диапазон масштаба задаётся генератором. Порог cmin исследовать на {0,0.05,0.10,0.20}; nmin — {4,8,12,20}; менять один фактор за раз. Все 5 000 попыток должны завершаться конечным статусом.</w:t>
      </w:r>
    </w:p>
    <w:p>
      <w:pPr>
        <w:pStyle w:val="Heading1"/>
      </w:pPr>
      <w:r>
        <w:t>5 Совмещение и доступная область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u</m:t>
            </m:r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I</m:t>
            </m:r>
          </m:e>
        </m:acc>
        <m:r>
          <m:t>​</m:t>
        </m:r>
        <m:d>
          <m:dPr>
            <m:begChr m:val="("/>
            <m:endChr m:val=")"/>
            <m:sepChr m:val="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G</m:t>
                    </m:r>
                  </m:e>
                </m:acc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b"/>
                  </m:rPr>
                  <m:t>u</m:t>
                </m:r>
              </m:e>
            </m:d>
          </m:e>
        </m:d>
        <m:r>
          <m:rPr>
            <m:sty m:val="p"/>
          </m:rPr>
          <m:t>,</m:t>
        </m:r>
        <m:r>
          <m:t>  </m:t>
        </m:r>
        <m:r>
          <m:rPr>
            <m:sty m:val="b"/>
          </m:rPr>
          <m:t>u</m:t>
        </m:r>
        <m:r>
          <m:rPr>
            <m:sty m:val="p"/>
          </m:rPr>
          <m:t>∈</m:t>
        </m:r>
        <m:sSub>
          <m:e>
            <m:acc>
              <m:accPr>
                <m:chr m:val="̂"/>
              </m:accPr>
              <m:e>
                <m:r>
                  <m:t>Ω</m:t>
                </m:r>
              </m:e>
            </m:acc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,</m:t>
        </m:r>
      </m:oMath>
      <w:r>
        <w:tab/>
      </w:r>
      <w:r>
        <w:t>(Г2-99)</w:t>
      </w:r>
    </w:p>
    <w:p>
      <w:r>
        <w:t>Для каждого пикселя u эталона выборка исходного I выполняется в H⁻¹u. Цвет — bilinear; категориальные маски — nearest. При использовании cv2.warpPerspective учитывать семантику WARP_INVERSE_MAP и проверить её на контрольной сетке.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e>
            <m:r>
              <m:t>ρ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m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e>
                    <m:r>
                      <m:t>Ω</m:t>
                    </m:r>
                  </m:e>
                  <m:sub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j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Ω</m:t>
                    </m:r>
                  </m:e>
                  <m:sub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j</m:t>
                    </m:r>
                  </m:sub>
                </m:sSub>
              </m:e>
            </m:d>
          </m:den>
        </m:f>
        <m:r>
          <m:rPr>
            <m:sty m:val="p"/>
          </m:rPr>
          <m:t>,</m:t>
        </m:r>
        <m:r>
          <m:t>  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Ω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j</m:t>
                </m:r>
              </m:sub>
            </m:sSub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</m:oMath>
      <w:r>
        <w:tab/>
      </w:r>
      <w:r>
        <w:t>(Г2-100)</w:t>
      </w:r>
    </w:p>
    <w:p>
      <w:r>
        <w:t>ρvis — доля видимой контролируемой области эталона. Это показатель доступности, а не качества гомографии.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</m:sub>
        </m:sSub>
        <m:r>
          <m:t> </m:t>
        </m:r>
        <m:r>
          <m:rPr>
            <m:sty m:val="b"/>
          </m:rPr>
          <m:t>1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ρ</m:t>
                </m:r>
              </m:e>
              <m:sub>
                <m:r>
                  <m:rPr>
                    <m:sty m:val="p"/>
                  </m:rPr>
                  <m:t>v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</m:t>
                </m:r>
              </m:sub>
            </m:sSub>
            <m:r>
              <m:rPr>
                <m:sty m:val="p"/>
              </m:rPr>
              <m:t>≥</m:t>
            </m:r>
            <m:sSub>
              <m:e>
                <m:r>
                  <m:t>ρ</m:t>
                </m:r>
              </m:e>
              <m:sub>
                <m:r>
                  <m:rPr>
                    <m:sty m:val="p"/>
                  </m:rPr>
                  <m:t>v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min</m:t>
                </m:r>
              </m:sub>
            </m:sSub>
          </m:e>
        </m:d>
        <m:r>
          <m:rPr>
            <m:sty m:val="b"/>
          </m:rPr>
          <m:t>1</m:t>
        </m:r>
        <m:d>
          <m:dPr>
            <m:begChr m:val="["/>
            <m:endChr m:val="]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m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e>
                    <m:r>
                      <m:t>Ω</m:t>
                    </m:r>
                  </m:e>
                  <m:sub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j</m:t>
                    </m:r>
                  </m:sub>
                </m:sSub>
              </m:e>
            </m:d>
            <m:r>
              <m:rPr>
                <m:sty m:val="p"/>
              </m:rPr>
              <m:t>≥</m:t>
            </m:r>
            <m:sSub>
              <m:e>
                <m:r>
                  <m:t>A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e>
        </m:d>
        <m:r>
          <m:rPr>
            <m:sty m:val="p"/>
          </m:rPr>
          <m:t>,</m:t>
        </m:r>
      </m:oMath>
      <w:r>
        <w:tab/>
      </w:r>
      <w:r>
        <w:t>(Г2-111)</w:t>
      </w:r>
    </w:p>
    <w:p>
      <w:r>
        <w:t>Базово ρvis,min=0.50; Amin=1 024 px. Для bilinear-маски исключить точки, у которых хотя бы один пиксель опорной окрестности отсутствует. Чёрная заливка после warp не считается наблюдаемой частью объекта.</w:t>
      </w:r>
    </w:p>
    <w:p>
      <w:r>
        <w:rPr>
          <w:b/>
        </w:rPr>
        <w:t xml:space="preserve">ГЕОМ-04 </w:t>
      </w:r>
      <w:r>
        <w:t>Окклюзия: в known-mask на вход разрешена маска видимости, заявленная как доступный внешний сигнал. В unknown-mask она не передаётся; алгоритм исключает только геометрически отсутствующие границы. Оценщик может использовать GT-маску для разбора ошибок. Результаты этих режимов никогда не объединять. В основном синтетическом опыте дефект должен оставаться видимым не менее чем на 50% своей площади; генератор проверяет это до запуска и регистрирует пересэмплирование. В дополнительном опыте скрытых дефектов ограничение снимается, доля видимого дефекта и полностью скрытые случаи выводятся отдельно. Из полностью скрытого дефекта нельзя требовать достоверного обнаружения по доступной части.</w:t>
      </w:r>
    </w:p>
    <w:p>
      <w:pPr>
        <w:pStyle w:val="Heading1"/>
      </w:pPr>
      <w:r>
        <w:t>6 MVTec AD и пары для сравнения областей</w:t>
      </w:r>
    </w:p>
    <w:p>
      <w:r>
        <w:t>MVTec AD предоставляет нормальные и дефектные изображения с масками аномалий, но не гарантирует пар одного экземпляра до/после дефекта [MVpaper]. Основная плоская цветная подвыборка: carpet, leather, tile, wood. Гомографию всей трёхмерной поверхности бутылки или деформируемого кабеля не предполагать допустимой. Остальные категории возможны только как отдельное исследование ограничений.</w:t>
      </w:r>
    </w:p>
    <w:p>
      <w:r>
        <w:rPr>
          <w:b/>
        </w:rPr>
        <w:t xml:space="preserve">ОБЛ-01 </w:t>
      </w:r>
      <w:r>
        <w:t>Контролируемый synthetic_test: из отложенного нормального оригинала E сформировать I=T(E) с y_match=1 и I=T(O(E)) с y_match=0. O — локальная смена цвета, царапина или вставка фрагмента; T — известное преобразование наблюдения. Обе ветви проходят одинаковый resampling и сохранение PNG, чтобы метку нельзя было определить по кодеку. Каждое E и все производные остаются в одном split.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T</m:t>
            </m:r>
          </m:e>
          <m:sub>
            <m:r>
              <m:t>ξ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E</m:t>
            </m:r>
          </m:e>
        </m:d>
        <m:r>
          <m:rPr>
            <m:sty m:val="p"/>
          </m:rPr>
          <m:t>,</m:t>
        </m:r>
        <m:r>
          <m:t>  </m:t>
        </m:r>
        <m:sSub>
          <m:e>
            <m:r>
              <m:t>I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T</m:t>
            </m:r>
          </m:e>
          <m:sub>
            <m:r>
              <m:t>ξ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O</m:t>
                </m:r>
              </m:e>
              <m:sub>
                <m:r>
                  <m:t>δ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E</m:t>
                </m:r>
              </m:e>
            </m:d>
          </m:e>
        </m:d>
        <m:r>
          <m:rPr>
            <m:sty m:val="p"/>
          </m:rPr>
          <m:t>.</m:t>
        </m:r>
      </m:oMath>
      <w:r>
        <w:tab/>
      </w:r>
      <w:r>
        <w:t>(Г-2)</w:t>
      </w:r>
    </w:p>
    <w:p>
      <w:r>
        <w:t>Порядок операций: сначала изменение объекта в координатах E, затем геометрия E → I, затем фотометрия, шум и окклюзия. Рабочая H имеет обратное направление. Не смешивать известную матрицу генератора с оценкой алгоритма.</w:t>
      </w:r>
    </w:p>
    <w:p>
      <w:r>
        <w:rPr>
          <w:b/>
        </w:rPr>
        <w:t xml:space="preserve">ОБЛ-02 </w:t>
      </w:r>
      <w:r>
        <w:t>Маска изменения задаётся независимо от результата метода. Доли площади дефекта: 0.5%, 2%, 5%; для смены цвета — сдвиг a* или b* CIELAB на {5,10,20} с сохранением L*, затем обратное преобразование и clip. Царапина — отрезок случайной ориентации внутри центральных 60% ROI; ширину подобрать до заданной дискретной площади. Для вставки использовать фрагмент другого dev-изображения той же категории. Сохранять фактическую площадь и полученную ΔE, отклонённые генератором случаи учитывать в generation_report.</w:t>
      </w:r>
    </w:p>
    <w:p>
      <w:r>
        <w:rPr>
          <w:b/>
        </w:rPr>
        <w:t xml:space="preserve">ОБЛ-03 </w:t>
      </w:r>
      <w:r>
        <w:t>real_test: эталонная галерея — первые пять normal dev-изображений категории после фиксированного перемешивания. Запросы — все нормальные и дефектные изображения соответствующей категории официального test. Каждую пару считать отдельно; категория запроса считается известной. Выбор эталона для итогового решения — минимум D среди q_cmp=1; при равенстве — reference_id. Если все пары отвергнуты — reject. Такой режим помечать multi-reference_inspection, а не paired_before_after.</w:t>
      </w:r>
    </w:p>
    <w:p>
      <w:r>
        <w:t>Для real_test фиксировать естественную межобразцовую вариативность. Маски дефектов доступны только оценщику. Порог по реальным дефектам test не подбирать: для первичного протокола его калибровка выполняется на synthetic validation и normal validation против dev-галереи; перенос порога на реальные дефекты оценивается как отдельный результат.</w:t>
      </w:r>
    </w:p>
    <w:p>
      <w:pPr>
        <w:pStyle w:val="Heading1"/>
      </w:pPr>
      <w:r>
        <w:t>7 Сравнение участков и правило решения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e>
            <m:r>
              <m:t>Ω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Ω</m:t>
                </m:r>
              </m:e>
            </m:acc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∩</m:t>
        </m:r>
        <m:sSub>
          <m:e>
            <m:r>
              <m:t>Ω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j</m:t>
            </m:r>
          </m:sub>
        </m:sSub>
        <m:r>
          <m:rPr>
            <m:sty m:val="p"/>
          </m:rPr>
          <m:t>.</m:t>
        </m:r>
      </m:oMath>
      <w:r>
        <w:tab/>
      </w:r>
      <w:r>
        <w:t>(Г2-112)</w:t>
      </w:r>
    </w:p>
    <w:p>
      <w:r>
        <w:t>Контролируемая область по умолчанию — изображение E без исключаемых границ; не использовать маску дефекта как Ωobj.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e>
            <m:r>
              <m:t>Ω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j</m:t>
            </m:r>
          </m:sub>
        </m:sSub>
        <m:r>
          <m:rPr>
            <m:sty m:val="p"/>
          </m:rPr>
          <m:t>=</m:t>
        </m:r>
        <m:limLow>
          <m:e>
            <m:limUpp>
              <m:e>
                <m:r>
                  <m:rPr>
                    <m:sty m:val="p"/>
                  </m:rPr>
                  <m:t>⋃</m:t>
                </m:r>
              </m:e>
              <m:lim>
                <m:r>
                  <m:t>K</m:t>
                </m:r>
              </m:lim>
            </m:limUpp>
          </m:e>
          <m:lim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lim>
        </m:limLow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  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∩</m:t>
        </m:r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⌀</m:t>
        </m:r>
        <m:r>
          <m:t> </m:t>
        </m:r>
        <m:r>
          <m:rPr>
            <m:nor/>
            <m:sty m:val="p"/>
          </m:rPr>
          <m:t>при </m:t>
        </m:r>
        <m:r>
          <m:t>k</m:t>
        </m:r>
        <m:r>
          <m:rPr>
            <m:sty m:val="p"/>
          </m:rPr>
          <m:t>≠</m:t>
        </m:r>
        <m:r>
          <m:t>l</m:t>
        </m:r>
        <m:r>
          <m:rPr>
            <m:sty m:val="p"/>
          </m:rPr>
          <m:t>.</m:t>
        </m:r>
      </m:oMath>
      <w:r>
        <w:tab/>
      </w:r>
      <w:r>
        <w:t>(Г2-113)</w:t>
      </w:r>
    </w:p>
    <w:p>
      <w:r>
        <w:t>Фиксированная сетка 8 × 8 в координатах E; при неделимости размеров последние строки/столбцы получают остаток пикселей. Sensitivity: 4 × 4, 8 × 8, 16 × 16.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e>
            <m:r>
              <m:t>Ω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∩</m:t>
        </m:r>
        <m:sSub>
          <m:e>
            <m:r>
              <m:t>Ω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,</m:t>
        </m:r>
        <m:r>
          <m:t>  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Ω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R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den>
        </m:f>
        <m:r>
          <m:rPr>
            <m:sty m:val="p"/>
          </m:rPr>
          <m:t>,</m:t>
        </m:r>
        <m:r>
          <m:t>  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</m:oMath>
      <w:r>
        <w:tab/>
      </w:r>
      <w:r>
        <w:t>(Г2-114)</w:t>
      </w:r>
    </w:p>
    <w:p>
      <w:r>
        <w:t>Для каждого участка хранить полную и доступную площадь. Отсутствующий участок не получает нулевой d_k.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e>
            <m:r>
              <m:rPr>
                <m:sty m:val="p"/>
                <m:scr m:val="script"/>
              </m:rPr>
              <m:t>K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d>
          <m:dPr>
            <m:begChr m:val="{"/>
            <m:endChr m:val="}"/>
            <m:sepChr m:val=""/>
            <m:grow/>
          </m:dPr>
          <m:e>
            <m:r>
              <m:t>k</m:t>
            </m:r>
            <m:r>
              <m:rPr>
                <m:sty m:val="p"/>
              </m:rPr>
              <m:t>:</m:t>
            </m:r>
            <m:sSub>
              <m:e>
                <m:r>
                  <m:t>v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≥</m:t>
            </m:r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  <m:r>
              <m:rPr>
                <m:sty m:val="p"/>
              </m:rPr>
              <m:t>,</m:t>
            </m:r>
            <m:r>
              <m:t> </m:t>
            </m:r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Ω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rPr>
                <m:sty m:val="p"/>
              </m:rPr>
              <m:t>≥</m:t>
            </m:r>
            <m:sSubSup>
              <m:e>
                <m:r>
                  <m:t>n</m:t>
                </m:r>
              </m:e>
              <m:sub>
                <m:r>
                  <m:rPr>
                    <m:sty m:val="p"/>
                  </m:rPr>
                  <m:t>min</m:t>
                </m:r>
              </m:sub>
              <m:sup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a</m:t>
                </m:r>
              </m:sup>
            </m:sSubSup>
          </m:e>
        </m:d>
        <m:r>
          <m:rPr>
            <m:sty m:val="p"/>
          </m:rPr>
          <m:t>,</m:t>
        </m:r>
        <m:r>
          <m:t>  </m:t>
        </m:r>
        <m:sSub>
          <m:e>
            <m:r>
              <m:t>v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</m:oMath>
      <w:r>
        <w:tab/>
      </w:r>
      <w:r>
        <w:t>(Г2-115)</w:t>
      </w:r>
    </w:p>
    <w:p>
      <w:r>
        <w:t>vmin=0.80, nmin,area=16 px. Если ни одного пригодного участка нет, отказ NO_VALID_REGIONS.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acc>
          <m:accPr>
            <m:chr m:val="̂"/>
          </m:accPr>
          <m:e>
            <m:r>
              <m:rPr>
                <m:sty m:val="b"/>
              </m:rPr>
              <m:t>ψ</m:t>
            </m:r>
          </m:e>
        </m:acc>
        <m:r>
          <m:rPr>
            <m:sty m:val="p"/>
          </m:rPr>
          <m:t>∈</m:t>
        </m:r>
        <m:limLow>
          <m:e>
            <m:r>
              <m:rPr>
                <m:sty m:val="p"/>
              </m:rPr>
              <m:t>arg min</m:t>
            </m:r>
          </m:e>
          <m:lim>
            <m:r>
              <m:rPr>
                <m:sty m:val="b"/>
              </m:rPr>
              <m:t>ψ</m:t>
            </m:r>
            <m:r>
              <m:rPr>
                <m:sty m:val="p"/>
              </m:rPr>
              <m:t>∈</m:t>
            </m:r>
            <m:sSub>
              <m:e>
                <m:r>
                  <m:t>Ψ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sub>
            </m:sSub>
          </m:lim>
        </m:limLow>
        <m:nary>
          <m:naryPr>
            <m:chr m:val="∑"/>
            <m:limLoc m:val="undOvr"/>
            <m:subHide m:val="off"/>
            <m:supHide m:val="on"/>
          </m:naryPr>
          <m:sub>
            <m:r>
              <m:rPr>
                <m:sty m:val="b"/>
              </m:rPr>
              <m:t>u</m:t>
            </m:r>
            <m:r>
              <m:rPr>
                <m:sty m:val="p"/>
              </m:rPr>
              <m:t>∈</m:t>
            </m:r>
            <m:sSub>
              <m:e>
                <m:r>
                  <m:t>Ω</m:t>
                </m:r>
              </m:e>
              <m: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rPr>
                    <m:sty m:val="b"/>
                  </m:rPr>
                  <m:t>ψ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I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</m:sub>
            </m:sSub>
            <m:r>
              <m:rPr>
                <m:sty m:val="p"/>
              </m:rPr>
              <m:t>)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b"/>
                  </m:rPr>
                  <m:t>u</m:t>
                </m:r>
              </m:e>
            </m:d>
            <m:r>
              <m:rPr>
                <m:sty m:val="p"/>
              </m:rPr>
              <m:t>,</m:t>
            </m:r>
            <m:r>
              <m:t>E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b"/>
                  </m:rPr>
                  <m:t>u</m:t>
                </m:r>
              </m:e>
            </m:d>
          </m:e>
        </m:d>
        <m:r>
          <m:rPr>
            <m:sty m:val="p"/>
          </m:rPr>
          <m:t>,</m:t>
        </m:r>
        <m:r>
          <m:t>  </m:t>
        </m:r>
        <m:r>
          <m:t>J</m:t>
        </m:r>
        <m:r>
          <m:rPr>
            <m:sty m:val="p"/>
          </m:rPr>
          <m:t>=</m:t>
        </m:r>
        <m:sSub>
          <m:e>
            <m:r>
              <m:t>Φ</m:t>
            </m:r>
          </m:e>
          <m:sub>
            <m:acc>
              <m:accPr>
                <m:chr m:val="̂"/>
              </m:accPr>
              <m:e>
                <m:r>
                  <m:rPr>
                    <m:sty m:val="b"/>
                  </m:rPr>
                  <m:t>ψ</m:t>
                </m:r>
              </m:e>
            </m:acc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</m:sub>
            </m:sSub>
          </m:e>
        </m:d>
        <m:r>
          <m:rPr>
            <m:sty m:val="p"/>
          </m:rPr>
          <m:t>,</m:t>
        </m:r>
      </m:oMath>
      <w:r>
        <w:tab/>
      </w:r>
      <w:r>
        <w:t>(Г2-116)</w:t>
      </w:r>
    </w:p>
    <w:p>
      <w:r>
        <w:t>Основной режим — без компенсации. Дополнительный режим: один общий a и один общий b для трёх RGB-каналов, J=clip(aIal+b,0,1); a∈[0.8,1.2], b∈[−0.1,0.1], квадратная ошибка на фиксированной опорной полосе шириной 10% по периметру E. Решать ограниченные least squares. Не выбирать опорную область по минимальной текущей ошибке.</w:t>
      </w:r>
    </w:p>
    <w:p>
      <w:r>
        <w:t>В синтетическом сценарии с опорной полосой дефект размещается вне неё по правилу генератора, известному до запуска. Это специально заданная предпосылка, не автоматическое свойство реальных данных. Для real_test режим с компенсацией не считается гарантированно безопасным; отдельно измерить пропуски дефектов, затрагивающих опорную полосу.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e>
            <m:r>
              <m:t>δ</m:t>
            </m:r>
          </m:e>
          <m:sub>
            <m:r>
              <m:t>00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u</m:t>
            </m:r>
          </m:e>
        </m:d>
        <m:r>
          <m:rPr>
            <m:sty m:val="p"/>
          </m:rPr>
          <m:t>=</m:t>
        </m:r>
        <m:r>
          <m:t>Δ</m:t>
        </m:r>
        <m:sSub>
          <m:e>
            <m:r>
              <m:t>E</m:t>
            </m:r>
          </m:e>
          <m:sub>
            <m:r>
              <m:t>00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L</m:t>
                </m:r>
              </m:e>
              <m:sub>
                <m:r>
                  <m:t>J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b"/>
                  </m:rPr>
                  <m:t>u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L</m:t>
                </m:r>
              </m:e>
              <m:sub>
                <m:r>
                  <m:t>E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b"/>
                  </m:rPr>
                  <m:t>u</m:t>
                </m:r>
              </m:e>
            </m:d>
          </m:e>
        </m:d>
        <m:r>
          <m:rPr>
            <m:sty m:val="p"/>
          </m:rPr>
          <m:t>,</m:t>
        </m:r>
        <m:r>
          <m:t>  </m:t>
        </m:r>
        <m:r>
          <m:rPr>
            <m:sty m:val="b"/>
          </m:rPr>
          <m:t>u</m:t>
        </m:r>
        <m:r>
          <m:rPr>
            <m:sty m:val="p"/>
          </m:rPr>
          <m:t>∈</m:t>
        </m:r>
        <m:sSub>
          <m:e>
            <m:r>
              <m:t>Ω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,</m:t>
        </m:r>
      </m:oMath>
      <w:r>
        <w:tab/>
      </w:r>
      <w:r>
        <w:t>(Г2-117)</w:t>
      </w:r>
    </w:p>
    <w:p>
      <w:r>
        <w:t>Одинаковые sRGB → CIELAB D65/2° и CIEDE2000 kL=kC=kH=1 как в ТЗ 01. Вычислить карту в исходном разрешении E.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Ω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rPr>
                <m:sty m:val="b"/>
              </m:rPr>
              <m:t>u</m:t>
            </m:r>
            <m:r>
              <m:rPr>
                <m:sty m:val="p"/>
              </m:rPr>
              <m:t>∈</m:t>
            </m:r>
            <m:sSub>
              <m:e>
                <m:r>
                  <m:t>Ω</m:t>
                </m:r>
              </m:e>
              <m:sub>
                <m:r>
                  <m:t>k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t>δ</m:t>
                </m:r>
              </m:e>
              <m:sub>
                <m:r>
                  <m:t>00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u</m:t>
            </m:r>
          </m:e>
        </m:d>
        <m:r>
          <m:rPr>
            <m:sty m:val="p"/>
          </m:rPr>
          <m:t>,</m:t>
        </m:r>
        <m:r>
          <m:t>  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Ω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rPr>
                <m:sty m:val="b"/>
              </m:rPr>
              <m:t>u</m:t>
            </m:r>
            <m:r>
              <m:rPr>
                <m:sty m:val="p"/>
              </m:rPr>
              <m:t>∈</m:t>
            </m:r>
            <m:sSub>
              <m:e>
                <m:r>
                  <m:t>Ω</m:t>
                </m:r>
              </m:e>
              <m:sub>
                <m:r>
                  <m:t>k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b"/>
              </m:rPr>
              <m:t>1</m:t>
            </m:r>
          </m:e>
        </m:nary>
        <m:d>
          <m:dPr>
            <m:begChr m:val="["/>
            <m:endChr m:val="]"/>
            <m:sepChr m:val=""/>
            <m:grow/>
          </m:dPr>
          <m:e>
            <m:sSub>
              <m:e>
                <m:r>
                  <m:t>δ</m:t>
                </m:r>
              </m:e>
              <m:sub>
                <m:r>
                  <m:t>00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b"/>
                  </m:rPr>
                  <m:t>u</m:t>
                </m:r>
              </m:e>
            </m:d>
            <m:r>
              <m:rPr>
                <m:sty m:val="p"/>
              </m:rPr>
              <m:t>&gt;</m:t>
            </m:r>
            <m:sSub>
              <m:e>
                <m:r>
                  <m:t>τ</m:t>
                </m:r>
              </m:e>
              <m:sub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x</m:t>
                </m:r>
              </m:sub>
            </m:sSub>
          </m:e>
        </m:d>
        <m:r>
          <m:rPr>
            <m:sty m:val="p"/>
          </m:rPr>
          <m:t>,</m:t>
        </m:r>
        <m:r>
          <m:t> </m:t>
        </m:r>
        <m:r>
          <m:t>k</m:t>
        </m:r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K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,</m:t>
        </m:r>
      </m:oMath>
      <w:r>
        <w:tab/>
      </w:r>
      <w:r>
        <w:t>(Г2-118)</w:t>
      </w:r>
    </w:p>
    <w:p>
      <w:r>
        <w:t>d_k — среднее попиксельных различий; a_k — доля превышений. Оба считаются только по Ω_k, k∈Kval. Для невидимых участков — null.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g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ty m:val="p"/>
                    <m:scr m:val="script"/>
                  </m:rPr>
                  <m:t>K</m:t>
                </m:r>
              </m:e>
              <m:sub>
                <m:r>
                  <m:rPr>
                    <m:sty m:val="p"/>
                  </m:rPr>
                  <m:t>v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  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ω</m:t>
                </m:r>
              </m:e>
              <m:sub>
                <m:r>
                  <m:t>k</m:t>
                </m:r>
              </m:sub>
            </m:sSub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Ω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num>
          <m:den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l</m:t>
                </m:r>
                <m:r>
                  <m:rPr>
                    <m:sty m:val="p"/>
                  </m:rPr>
                  <m:t>∈</m:t>
                </m:r>
                <m:sSub>
                  <m:e>
                    <m:r>
                      <m:rPr>
                        <m:sty m:val="p"/>
                        <m:scr m:val="script"/>
                      </m:rPr>
                      <m:t>K</m:t>
                    </m:r>
                  </m:e>
                  <m:sub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l</m:t>
                    </m:r>
                  </m:sub>
                </m:sSub>
              </m:sub>
              <m:sup>
                <m:r>
                  <m:t>​</m:t>
                </m:r>
              </m:sup>
              <m:e>
                <m:sSub>
                  <m:e>
                    <m:r>
                      <m:t>ω</m:t>
                    </m:r>
                  </m:e>
                  <m:sub>
                    <m:r>
                      <m:t>l</m:t>
                    </m:r>
                  </m:sub>
                </m:sSub>
              </m:e>
            </m:nary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Ω</m:t>
                    </m:r>
                  </m:e>
                  <m:sub>
                    <m:r>
                      <m:t>l</m:t>
                    </m:r>
                  </m:sub>
                </m:sSub>
              </m:e>
            </m:d>
          </m:den>
        </m:f>
        <m:r>
          <m:rPr>
            <m:sty m:val="p"/>
          </m:rPr>
          <m:t>,</m:t>
        </m:r>
        <m:r>
          <m:t>  </m:t>
        </m:r>
        <m:sSub>
          <m:e>
            <m:r>
              <m:t>ω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.</m:t>
        </m:r>
      </m:oMath>
      <w:r>
        <w:tab/>
      </w:r>
      <w:r>
        <w:t>(Г2-120)</w:t>
      </w:r>
    </w:p>
    <w:p>
      <w:r>
        <w:t>Базовые веса w_k=|Ω_k|. Иные веса допускаются только как заранее заданный вариант; итоговые нормированные веса в сумме равны 1.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&gt;</m:t>
            </m:r>
            <m:sSub>
              <m:e>
                <m:r>
                  <m:t>τ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a</m:t>
                </m:r>
              </m:sub>
            </m:sSub>
            <m:r>
              <m:t> </m:t>
            </m:r>
            <m:r>
              <m:rPr>
                <m:sty m:val="p"/>
              </m:rPr>
              <m:t>∨</m:t>
            </m:r>
            <m:r>
              <m:t> </m:t>
            </m:r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&gt;</m:t>
            </m:r>
            <m:sSub>
              <m:e>
                <m:r>
                  <m:t>τ</m:t>
                </m:r>
              </m:e>
              <m:sub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</m:sub>
            </m:sSub>
          </m:e>
        </m:d>
        <m:r>
          <m:rPr>
            <m:sty m:val="p"/>
          </m:rPr>
          <m:t>,</m:t>
        </m:r>
        <m:r>
          <m:t>  </m:t>
        </m:r>
        <m:sSub>
          <m:e>
            <m:r>
              <m:t>B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ty m:val="p"/>
                    <m:scr m:val="script"/>
                  </m:rPr>
                  <m:t>K</m:t>
                </m:r>
              </m:e>
              <m:sub>
                <m:r>
                  <m:rPr>
                    <m:sty m:val="p"/>
                  </m:rPr>
                  <m:t>v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</m:oMath>
      <w:r>
        <w:tab/>
      </w:r>
      <w:r>
        <w:t>(Г2-121)</w:t>
      </w:r>
    </w:p>
    <w:p>
      <w:r>
        <w:t>τd — порог средней ошибки участка; τa — порог доли превышений. Правило OR сохраняется. B — взвешенная доля проблемных участков.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</m:sub>
        </m:sSub>
        <m:r>
          <m:t> </m:t>
        </m:r>
        <m:r>
          <m:rPr>
            <m:sty m:val="b"/>
          </m:rPr>
          <m:t>1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K</m:t>
                </m:r>
              </m:e>
              <m:sub>
                <m:r>
                  <m:rPr>
                    <m:sty m:val="p"/>
                  </m:rPr>
                  <m:t>v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</m:sub>
            </m:sSub>
            <m:r>
              <m:rPr>
                <m:sty m:val="p"/>
              </m:rPr>
              <m:t>≠</m:t>
            </m:r>
            <m:r>
              <m:rPr>
                <m:sty m:val="p"/>
              </m:rPr>
              <m:t>⌀</m:t>
            </m:r>
          </m:e>
        </m:d>
        <m:r>
          <m:rPr>
            <m:sty m:val="b"/>
          </m:rPr>
          <m:t>1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K</m:t>
                </m:r>
              </m:e>
              <m:sub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q</m:t>
                </m:r>
              </m:sub>
            </m:sSub>
            <m:r>
              <m:rPr>
                <m:sty m:val="p"/>
              </m:rPr>
              <m:t>⊆</m:t>
            </m:r>
            <m:sSub>
              <m:e>
                <m:r>
                  <m:rPr>
                    <m:sty m:val="p"/>
                    <m:scr m:val="script"/>
                  </m:rPr>
                  <m:t>K</m:t>
                </m:r>
              </m:e>
              <m:sub>
                <m:r>
                  <m:rPr>
                    <m:sty m:val="p"/>
                  </m:rPr>
                  <m:t>v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</m:sub>
            </m:sSub>
          </m:e>
        </m:d>
        <m:r>
          <m:rPr>
            <m:sty m:val="p"/>
          </m:rPr>
          <m:t>.</m:t>
        </m:r>
      </m:oMath>
      <w:r>
        <w:tab/>
      </w:r>
      <w:r>
        <w:t>(Г2-122)</w:t>
      </w:r>
    </w:p>
    <w:p>
      <w:r>
        <w:t>Kreq по умолчанию пусто. В отдельном контролируемом опыте — четыре центральных участка сетки 8 × 8, заданные до генерации дефекта; хотя бы один невидимый обязательный участок даёт отказ. Не выбирать критические участки по GT-маске текущего дефекта.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d>
          <m:dPr>
            <m:begChr m:val="{"/>
            <m:endChr m:val="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b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b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c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c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t> </m:t>
                  </m:r>
                  <m:r>
                    <m:t> </m:t>
                  </m:r>
                  <m:r>
                    <m:rPr>
                      <m:sty m:val="p"/>
                    </m:rPr>
                    <m:t>∀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nor/>
                      <m:sty m:val="p"/>
                    </m:rPr>
                    <m:t> и хотя бы одно условие соответствия нарушено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m:t>⊥</m:t>
                  </m:r>
                  <m:r>
                    <m:rPr>
                      <m:sty m:val="p"/>
                    </m:rPr>
                    <m:t>,</m:t>
                  </m:r>
                </m:e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ab/>
      </w:r>
      <w:r>
        <w:t>(Г2-123)</w:t>
      </w:r>
    </w:p>
    <w:p>
      <w:r>
        <w:t>Итоговое соответствие требует ограничений D, B и отсутствия проблем в критических участках при q_cmp=1. q_cmp=0 даёт ⊥. Предсказание 0 означает обнаруженное несоответствие, а не ошибку совмещения.</w:t>
      </w:r>
    </w:p>
    <w:p>
      <w:r>
        <w:t>Сетки калибровки: τpix∈{2,5,10}; τd∈{2,5,10}; τa∈{0.05,0.10,0.20}; τB∈{0.05,0.10,0.20}; τD — все уникальные validation-D плюс крайние значения. На validation выбрать максимум Recall_all при FPR_all≤0.05 и Coverage≥0.5; при равенстве — меньше FPR, больше Coverage, затем лексикографически более строгие пороги. Если условие не достигается, сообщить infeasible и не ослаблять ограничение по test. Геометрические пороги сначала фиксируются по geometry-validation; затем подбираются цветовые пороги.</w:t>
      </w:r>
    </w:p>
    <w:p>
      <w:pPr>
        <w:pStyle w:val="Heading1"/>
      </w:pPr>
      <w:r>
        <w:t>8 Метрики и матрица опытов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Sup>
          <m:e>
            <m:r>
              <m:t>e</m:t>
            </m:r>
          </m:e>
          <m:sub>
            <m:r>
              <m:t>i</m:t>
            </m:r>
            <m:r>
              <m:t>j</m:t>
            </m:r>
          </m:sub>
          <m:sup>
            <m:r>
              <m:t>g</m:t>
            </m:r>
            <m:r>
              <m:t>t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t>u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H</m:t>
                </m:r>
              </m:e>
              <m:sup>
                <m:r>
                  <m:t>g</m:t>
                </m:r>
                <m:r>
                  <m:t>t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  </m:t>
        </m:r>
        <m:sSub>
          <m:e>
            <m:r>
              <m:t>P</m:t>
            </m:r>
          </m:e>
          <m:sub>
            <m:r>
              <m:t>c</m:t>
            </m:r>
            <m:r>
              <m:t>o</m:t>
            </m:r>
            <m:r>
              <m:t>r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n"/>
              </m:naryPr>
              <m: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</m:e>
                </m:d>
                <m:r>
                  <m:rPr>
                    <m:sty m:val="p"/>
                  </m:rPr>
                  <m:t>∈</m:t>
                </m:r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  <m:sup>
                <m:r>
                  <m:t>​</m:t>
                </m:r>
              </m:sup>
              <m:e>
                <m:r>
                  <m:rPr>
                    <m:sty m:val="b"/>
                  </m:rPr>
                  <m:t>1</m:t>
                </m:r>
              </m:e>
            </m:nary>
            <m:d>
              <m:dPr>
                <m:begChr m:val="["/>
                <m:endChr m:val="]"/>
                <m:sepChr m:val=""/>
                <m:grow/>
              </m:dPr>
              <m:e>
                <m:sSubSup>
                  <m:e>
                    <m:r>
                      <m:t>e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g</m:t>
                    </m:r>
                    <m:r>
                      <m:t>t</m:t>
                    </m:r>
                  </m:sup>
                </m:sSubSup>
                <m:r>
                  <m:rPr>
                    <m:sty m:val="p"/>
                  </m:rPr>
                  <m:t>≤</m:t>
                </m:r>
                <m:r>
                  <m:t>3</m:t>
                </m:r>
              </m:e>
            </m:d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den>
        </m:f>
        <m:r>
          <m:rPr>
            <m:sty m:val="p"/>
          </m:rPr>
          <m:t>.</m:t>
        </m:r>
      </m:oMath>
      <w:r>
        <w:tab/>
      </w:r>
      <w:r>
        <w:t>(Г-3)</w:t>
      </w:r>
    </w:p>
    <w:p>
      <w:r>
        <w:t>Для пустого M0 P_corr=null. Число корректных пар и доля пустых результатов приводятся вместе. Здесь x_i однородная точка I, а u_j — координата E.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e>
            <m:r>
              <m:t>e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r>
                  <m:t>G</m:t>
                </m:r>
              </m:e>
            </m:d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G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∥</m:t>
            </m:r>
          </m:e>
        </m:nary>
        <m:r>
          <m:t>π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H</m:t>
                </m:r>
              </m:e>
            </m:acc>
            <m:r>
              <m:t>x</m:t>
            </m:r>
          </m:e>
        </m:d>
        <m:r>
          <m:rPr>
            <m:sty m:val="p"/>
          </m:rPr>
          <m:t>−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H</m:t>
                </m:r>
              </m:e>
              <m:sup>
                <m:r>
                  <m:t>g</m:t>
                </m:r>
                <m:r>
                  <m:t>t</m:t>
                </m:r>
              </m:sup>
            </m:sSup>
            <m:r>
              <m:t>x</m:t>
            </m:r>
          </m:e>
        </m:d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.</m:t>
        </m:r>
      </m:oMath>
      <w:r>
        <w:tab/>
      </w:r>
      <w:r>
        <w:t>(Г-4)</w:t>
      </w:r>
    </w:p>
    <w:p>
      <w:r>
        <w:t>G — фиксированная сетка 10 × 10 в совместно видимой области I по GT; точки, проекция которых вне E, исключаются. Ошибку считать на всех допустимых предсказанных H, включая отвергнутые фильтром, с отдельным флагом q_geom. Успех при e_H≤{1,3,5} px считать от всех пар; при отсутствии H успех равен 0.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r>
          <m:rPr>
            <m:sty m:val="p"/>
          </m:rPr>
          <m:t>Rep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r</m:t>
                </m:r>
                <m:r>
                  <m:t>e</m:t>
                </m:r>
                <m:r>
                  <m:t>p</m:t>
                </m:r>
              </m:sub>
            </m:sSub>
          </m:num>
          <m:den>
            <m:r>
              <m:rPr>
                <m:sty m:val="p"/>
              </m:rPr>
              <m:t>min</m:t>
            </m:r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N</m:t>
                    </m:r>
                  </m:e>
                  <m:sub>
                    <m:r>
                      <m:t>I</m:t>
                    </m:r>
                  </m:sub>
                  <m:sup>
                    <m:r>
                      <m:t>v</m:t>
                    </m:r>
                    <m:r>
                      <m:t>i</m:t>
                    </m:r>
                    <m:r>
                      <m:t>s</m:t>
                    </m:r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r>
                      <m:t>N</m:t>
                    </m:r>
                  </m:e>
                  <m:sub>
                    <m:r>
                      <m:t>E</m:t>
                    </m:r>
                  </m:sub>
                  <m:sup>
                    <m:r>
                      <m:t>v</m:t>
                    </m:r>
                    <m:r>
                      <m:t>i</m:t>
                    </m:r>
                    <m:r>
                      <m:t>s</m:t>
                    </m:r>
                  </m:sup>
                </m:sSubSup>
              </m:e>
            </m:d>
          </m:den>
        </m:f>
        <m:r>
          <m:rPr>
            <m:sty m:val="p"/>
          </m:rPr>
          <m:t>.</m:t>
        </m:r>
      </m:oMath>
      <w:r>
        <w:tab/>
      </w:r>
      <w:r>
        <w:t>(Г-5)</w:t>
      </w:r>
    </w:p>
    <w:p>
      <w:r>
        <w:t>Ключевые точки в GT-общей области связывать взаимно однозначно при reprojection≤3 px: сортировка всех допустимых расстояний, greedy по возрастанию, tie-break по индексам. Это явно заданный протокол координатной повторяемости, а не совпадение с любым внешним определением ellipse-repeatability. Нулевой знаменатель — null.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4252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5EAF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5EAF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Сравнение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5EAF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Что экспортировать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P2-E1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SIFT, ORB, SuperPoint на HPatches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Точки, пары, P_corr, Rep, e_H, доля успехов, Coverage, время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P2-E2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Поворот, масштаб, shear, перспектива и видимость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Кривые по каждому фактору и причины отказов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P2-E3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Сравнение без совмещения; с Hgt; с Hhat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Итоговые ошибки и покрытие. Hgt — oracle верхняя контрольная ветвь, не рабочий метод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P2-E4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Без gate; gate поддержки; gate покрытия; полный gate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Вклад проверок при одинаковых парах и основном фиксированном цветном правиле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P2-E5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Среднее ΔE по пикселям против ΔE средних Lab участка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Оба порядка реализовать, пороги калибровать одинаковым правилом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P2-E6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Глобальный D; D+B; D+B+critical; компенсация on/off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Качество обнаружения локальных изменений и сохранение видимости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P2-E7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Synthetic и real_test отдельно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Матрица 2 × 3, ложные принятия/отклонения, отказы по категориям и площадям дефектов</w:t>
            </w:r>
          </w:p>
        </w:tc>
      </w:tr>
    </w:tbl>
    <w:p>
      <w:pPr>
        <w:spacing w:after="0"/>
      </w:pPr>
    </w:p>
    <w:p>
      <w:r>
        <w:t>Во всех абляциях показать два режима: фиксированные общие параметры для изоляции компонента и при необходимости отдельно перекалиброванные варианты с одинаковым validation-бюджетом. Основной результат — заранее выбранный фиксированный протокол; нельзя выбирать лучший из режимов постфактум.</w:t>
      </w:r>
    </w:p>
    <w:p>
      <w:pPr>
        <w:pStyle w:val="Heading1"/>
      </w:pPr>
      <w:r>
        <w:t>9 Интерфейс и приёмка</w:t>
      </w:r>
    </w:p>
    <w:p>
      <w:r>
        <w:t>API: detect_describe; match_descriptors; estimate_homography; validate_geometry; warp_with_mask; compare_regions; decide. Файлы: correspondences.parquet, homographies.npz, region_metrics.parquet, predictions.parquet, reject_counts.csv, диагностические PNG. Координаты, матрицы и карты ошибок экспортируются с привязкой к pair_id.</w:t>
      </w:r>
    </w:p>
    <w:p>
      <w:r>
        <w:rPr>
          <w:b/>
        </w:rPr>
        <w:t xml:space="preserve">ПРИЁМ-Г1 </w:t>
      </w:r>
      <w:r>
        <w:t>Контрольная сетка без шума: оценивание H и обратного направления воспроизводит GT-проекции с ошибкой ≤10⁻⁴ px в float64. Синтетические вырожденные конфигурации дают отказ; число пар меньше четырёх не приводит к исключению процесса.</w:t>
      </w:r>
    </w:p>
    <w:p>
      <w:r>
        <w:rPr>
          <w:b/>
        </w:rPr>
        <w:t xml:space="preserve">ПРИЁМ-Г2 </w:t>
      </w:r>
      <w:r>
        <w:t>Проверить перевод A_E⁻¹ Hwork A_I на разных размерах и crop; сравнить проекции в исходной системе с прямым вычислением. Независимый тест направления warp обязателен.</w:t>
      </w:r>
    </w:p>
    <w:p>
      <w:r>
        <w:rPr>
          <w:b/>
        </w:rPr>
        <w:t xml:space="preserve">ПРИЁМ-Г3 </w:t>
      </w:r>
      <w:r>
        <w:t>Выйдя за границу I, пиксель не попадает в Ωcmp; все d_k невидимых ячеек равны null. При полностью закрытой критической области решение — reject. Изменение GT-файлов не меняет predict рабочего режима.</w:t>
      </w:r>
    </w:p>
    <w:p>
      <w:r>
        <w:rPr>
          <w:b/>
        </w:rPr>
        <w:t xml:space="preserve">ПРИЁМ-Г4 </w:t>
      </w:r>
      <w:r>
        <w:t>На специально построенной ячейке с разными цветами показать неэквивалентность среднего ΔE и ΔE средних цветов. На неизменной паре d_k=0 и a_k=0. Все диагностические поля соответствуют формулам, а не пересчитываются из округлённых значений.</w:t>
      </w:r>
    </w:p>
    <w:p>
      <w:r>
        <w:rPr>
          <w:b/>
        </w:rPr>
        <w:t xml:space="preserve">ПРИЁМ-Г5 </w:t>
      </w:r>
      <w:r>
        <w:t>Плохая геометрия и естественно различающиеся текстуры не исключаются из отчёта. Если конвейер не переносится на реальные дефекты MVTec, это фиксируется как граница применимости, а не исправляется использованием тестовой маски дефекта.</w:t>
      </w:r>
    </w:p>
    <w:p>
      <w:pPr>
        <w:pStyle w:val="Heading1"/>
      </w:pPr>
      <w:r>
        <w:t>Источники и основания требований</w:t>
      </w:r>
    </w:p>
    <w:p>
      <w:r>
        <w:t>Основание математической части: подготовленные главы 1 и 2 диссертации. Обозначение Г1 или Г2 перед номером уравнения указывает главу и исходный номер; локальные уравнения ТЗ задают вычислительную конкретизацию. Внешние источники проверены 23.10.2026.</w:t>
      </w:r>
    </w:p>
    <w:p>
      <w:pPr>
        <w:keepLines/>
        <w:spacing w:line="264" w:lineRule="auto" w:after="80"/>
        <w:ind w:firstLine="0"/>
      </w:pPr>
      <w:r>
        <w:rPr>
          <w:sz w:val="24"/>
        </w:rPr>
        <w:t>HPatches: https://github.com/hpatches/hpatches-dataset</w:t>
      </w:r>
    </w:p>
    <w:p>
      <w:pPr>
        <w:keepLines/>
        <w:spacing w:line="264" w:lineRule="auto" w:after="80"/>
        <w:ind w:firstLine="0"/>
      </w:pPr>
      <w:r>
        <w:rPr>
          <w:sz w:val="24"/>
        </w:rPr>
        <w:t>HPpaper: https://arxiv.org/abs/1704.05939</w:t>
      </w:r>
    </w:p>
    <w:p>
      <w:pPr>
        <w:keepLines/>
        <w:spacing w:line="264" w:lineRule="auto" w:after="80"/>
        <w:ind w:firstLine="0"/>
      </w:pPr>
      <w:r>
        <w:rPr>
          <w:sz w:val="24"/>
        </w:rPr>
        <w:t>MVTec: https://www.mvtec.com/research-teaching/datasets/mvtec-ad</w:t>
      </w:r>
    </w:p>
    <w:p>
      <w:pPr>
        <w:keepLines/>
        <w:spacing w:line="264" w:lineRule="auto" w:after="80"/>
        <w:ind w:firstLine="0"/>
      </w:pPr>
      <w:r>
        <w:rPr>
          <w:sz w:val="24"/>
        </w:rPr>
        <w:t>MVpaper: https://www.mvtec.com/fileadmin/Redaktion/mvtec.com/05_research_teaching/datasets/mvtec_ad.pdf</w:t>
      </w:r>
    </w:p>
    <w:p>
      <w:pPr>
        <w:keepLines/>
        <w:spacing w:line="264" w:lineRule="auto" w:after="80"/>
        <w:ind w:firstLine="0"/>
      </w:pPr>
      <w:r>
        <w:rPr>
          <w:sz w:val="24"/>
        </w:rPr>
        <w:t>OpenCV: https://docs.opencv.org/4.x/d1/de0/tutorial_py_feature_homography.html</w:t>
      </w:r>
    </w:p>
    <w:p>
      <w:pPr>
        <w:keepLines/>
        <w:spacing w:line="264" w:lineRule="auto" w:after="80"/>
        <w:ind w:firstLine="0"/>
      </w:pPr>
      <w:r>
        <w:rPr>
          <w:sz w:val="24"/>
        </w:rPr>
        <w:t>Color: https://scikit-image.org/docs/stable/api/skimage.color.html</w:t>
      </w:r>
    </w:p>
    <w:p>
      <w:pPr>
        <w:keepLines/>
        <w:spacing w:line="264" w:lineRule="auto" w:after="80"/>
        <w:ind w:firstLine="0"/>
      </w:pPr>
      <w:r>
        <w:rPr>
          <w:sz w:val="24"/>
        </w:rPr>
        <w:t>SciPy: https://docs.scipy.org/doc/scipy/reference/generated/scipy.optimize.least_squares.html</w:t>
      </w:r>
    </w:p>
    <w:p>
      <w:pPr>
        <w:keepLines/>
        <w:spacing w:line="264" w:lineRule="auto" w:after="80"/>
        <w:ind w:firstLine="0"/>
      </w:pPr>
      <w:r>
        <w:rPr>
          <w:sz w:val="24"/>
        </w:rPr>
        <w:t>SuperPoint: https://github.com/magicleap/SuperPointPretrainedNetwork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 w:before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360" w:lineRule="auto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after="120" w:line="360" w:lineRule="auto" w:before="240"/>
      <w:ind w:firstLine="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60" w:lineRule="auto" w:after="0" w:before="0"/>
      <w:ind w:firstLine="709"/>
      <w:jc w:val="both"/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60" w:lineRule="auto" w:after="0" w:before="0"/>
      <w:ind w:firstLine="709"/>
      <w:jc w:val="both"/>
    </w:pPr>
    <w:rPr>
      <w:rFonts w:ascii="Times New Roman" w:hAnsi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геометрического сопоставления и сравнения областей</dc:title>
  <dc:subject>Техническое задание на вычислительные эксперименты главы 3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