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глобального сравнения изображений</w:t>
      </w:r>
    </w:p>
    <w:p>
      <w:r>
        <w:t>ТЗ 01. Программа P1 photometric для раздела 3.2</w:t>
      </w:r>
    </w:p>
    <w:p>
      <w:r>
        <w:t>Редакция 1.0 от 23 октября 2026 года. Численные настройки ниже являются назначенным проектным протоколом, а не опубликованными результатами или доказанно оптимальными параметрами.</w:t>
      </w:r>
    </w:p>
    <w:p>
      <w:pPr>
        <w:pStyle w:val="Heading1"/>
      </w:pPr>
      <w:r>
        <w:t>1 Цель и границы работ</w:t>
      </w:r>
    </w:p>
    <w:p>
      <w:r>
        <w:t>Реализовать единый стенд глобального сравнения по MSE, NCC, ZNCC, пересечению цветовых гистограмм, CIEDE2000 и четырём перцептивным хешам. Выход: исходные оценки пар, пороги, решения, кривые устойчивости и время каждого метода. Цель — измерить поведение методов, а не обеспечить заранее установленное преимущество.</w:t>
      </w:r>
    </w:p>
    <w:p>
      <w:pPr>
        <w:pStyle w:val="Heading1"/>
      </w:pPr>
      <w:r>
        <w:t>2 Данные и формирование пар</w:t>
      </w:r>
    </w:p>
    <w:p>
      <w:r>
        <w:rPr>
          <w:b/>
        </w:rPr>
        <w:t xml:space="preserve">ФОТО-01 </w:t>
      </w:r>
      <w:r>
        <w:t>Использовать KADID-10k: 81 оригинал и 10 125 производных = 81 × 25 × 5 [KADID]. Обязательный фотометрический поднабор типов: 07, 08, 10, 11, 12, 13, 14, 16, 17, 18, 25. Эти ID соответствуют насыщенности, JPEG, шумам, яркости и контрасту. Имена и уровни читать из официального описания; уровень 1–5 не заменять вымышленным значением σ или JPEG quality.</w:t>
      </w:r>
    </w:p>
    <w:p>
      <w:r>
        <w:rPr>
          <w:b/>
        </w:rPr>
        <w:t xml:space="preserve">ФОТО-02 </w:t>
      </w:r>
      <w:r>
        <w:t>Положительная пара: производная и её исходный оригинал. Для каждого запроса сформировать три отрицательные пары с другими оригиналами той же части, выбранными PCG64(pair_seed), без повторения reference_id. Одинаковый список пар использовать для всех методов. Класс соответствия означает общий исходный сюжет; сильное ухудшение качества само по себе не меняет этот класс.</w:t>
      </w:r>
    </w:p>
    <w:p>
      <w:r>
        <w:rPr>
          <w:b/>
        </w:rPr>
        <w:t xml:space="preserve">ФОТО-03 </w:t>
      </w:r>
      <w:r>
        <w:t>Дополнительные управляемые воздействия генерировать непосредственно из оригинала, а не поверх готового искажения KADID: сдвиг, коэффициент контраста, γ, гауссов шум, JPEG. Хранить параметры и преобразованный PNG. Эти данные помечать synthetic, не считать официальными дополнительными уровнями KADID.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061"/>
        <w:gridCol w:w="4252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Воздействие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Проектная сетка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Правило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Сдвиг яркости b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−0.2; −0.1; 0; 0.1; 0.2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RGB в [0,1], затем clip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Контраст a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0.6; 0.8; 1; 1.2; 1.4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Относительно фиксированного центра 0.5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Гамма γ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0.6; 0.8; 1; 1.2; 1.6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γ = 1 — контроль; формула Ф-1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Гауссов шум σ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0; 0.01; 0.03; 0.05; 0.1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Независимый шум по каналам; пять seeds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JPEG quality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100; 90; 70; 50; 30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Одна зафиксированная библиотека и настройка chroma subsampling</w:t>
            </w:r>
          </w:p>
        </w:tc>
      </w:tr>
    </w:tbl>
    <w:p>
      <w:pPr>
        <w:spacing w:after="0"/>
      </w:pP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clip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0.5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γ</m:t>
            </m:r>
          </m:sup>
        </m:sSup>
        <m:r>
          <m:rPr>
            <m:sty m:val="p"/>
          </m:rPr>
          <m:t>.</m:t>
        </m:r>
      </m:oMath>
      <w:r>
        <w:tab/>
      </w:r>
      <w:r>
        <w:t>(Ф-1)</w:t>
      </w:r>
    </w:p>
    <w:p>
      <w:r>
        <w:t>Это вычислительная конкретизация: последовательность линейного преобразования, clip и γ не переставлять. Для одиночного фактора остальные параметры равны a=1, b=0, γ=1. Шум или JPEG применять в отдельном опыте.</w:t>
      </w:r>
    </w:p>
    <w:p>
      <w:pPr>
        <w:pStyle w:val="Heading1"/>
      </w:pPr>
      <w:r>
        <w:t>3 Представления и обязательные формулы</w:t>
      </w:r>
    </w:p>
    <w:p>
      <w:r>
        <w:rPr>
          <w:b/>
        </w:rPr>
        <w:t xml:space="preserve">ФОТО-04 </w:t>
      </w:r>
      <w:r>
        <w:t>Общее представление: декодированный RGB float64 [0,1]. Не путать BGR OpenCV и RGB. Для NCC/ZNCC и хешей вычислять Y = 0.2126R + 0.7152G + 0.0722B по закодированным значениям sRGB; это проектное яркостное представление, не линейная физическая яркость. Для попиксельных мер размеры и область должны совпадать; произвольное resize пары для сокрытия геометрического различия запрещено.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r>
          <w:rPr>
            <w:rFonts w:ascii="Cambria Math" w:hAnsi="Cambria Math"/>
          </w:rPr>
          <m:t>MSE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I,E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NC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∈Ω</m:t>
            </m:r>
          </m:sub>
          <m:sup/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c=1</m:t>
                </m:r>
              </m:sub>
              <m:sup>
                <m:r>
                  <w:rPr>
                    <w:rFonts w:ascii="Cambria Math" w:hAnsi="Cambria Math"/>
                  </w:rPr>
                  <m:t>C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x,y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x,y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nary>
      </m:oMath>
      <w:r>
        <w:tab/>
      </w:r>
      <w:r>
        <w:t>(Г1-20)</w:t>
      </w:r>
    </w:p>
    <w:p>
      <w:r>
        <w:t>I, E — RGB [0,1]; N — число допустимых пикселей, C=3. Реализовать среднее по пикселям и каналам.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r>
          <m:rPr>
            <m:sty m:val="p"/>
          </m:rPr>
          <m:t>NCC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d>
              </m:e>
            </m:rad>
          </m:den>
        </m:f>
        <m:r>
          <m:rPr>
            <m:sty m:val="p"/>
          </m:rPr>
          <m:t>.</m:t>
        </m:r>
      </m:oMath>
      <w:r>
        <w:tab/>
      </w:r>
      <w:r>
        <w:t>(Ф-2)</w:t>
      </w:r>
    </w:p>
    <w:p>
      <w:r>
        <w:t>Векторы x и y — яркостные пиксели общей области. Эта явная запись фиксирует сумму квадратов внутри каждого множителя знаменателя. Не реализовывать квадрат суммы вместо суммы квадратов; запись знаменателей (22)–(23) главы 1 необходимо сверить при редактуре.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r>
          <m:rPr>
            <m:sty m:val="p"/>
          </m:rPr>
          <m:t>ZNCC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</m:e>
            </m:nary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</m:d>
          </m:num>
          <m:den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</m:den>
        </m:f>
        <m:r>
          <m:rPr>
            <m:sty m:val="p"/>
          </m:rPr>
          <m:t>.</m:t>
        </m:r>
      </m:oMath>
      <w:r>
        <w:tab/>
      </w:r>
      <w:r>
        <w:t>(Ф-3)</w:t>
      </w:r>
    </w:p>
    <w:p>
      <w:r>
        <w:t>При энергии или дисперсии ≤ 10⁻¹² результат undefined с кодом ZERO_ENERGY или ZERO_VARIANCE. Для двух одинаковых констант не назначать ZNCC=1: формула не определена. Для ненулевых констант NCC вычисляется обычным правилом.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∈Ω</m:t>
            </m:r>
          </m:sub>
          <m:sup/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x,y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=k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</m:e>
        </m:nary>
        <m:r>
          <m:rPr>
            <m:sty m:val="p"/>
          </m:rPr>
          <w:rPr>
            <w:rFonts w:ascii="Cambria Math" w:hAnsi="Cambria Math"/>
          </w:rPr>
          <m:t xml:space="preserve"> k=1,…,B,</m:t>
        </m:r>
      </m:oMath>
      <w:r>
        <w:tab/>
      </w:r>
      <w:r>
        <w:t>(Г1-24)</w:t>
      </w:r>
    </w:p>
    <w:p>
      <w:r>
        <w:t>Квантование Q: совместная RGB-гистограмма 8 × 8 × 8, равные интервалы [0,1], значение 1 относится к последнему интервалу. Сумма 512 компонентов равна 1; один пиксель входит ровно в один bin.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I,E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min</m:t>
            </m:r>
          </m:e>
        </m:nary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e>
        </m:d>
        <m:r>
          <w:rPr>
            <w:rFonts w:ascii="Cambria Math" w:hAnsi="Cambria Math"/>
          </w:rPr>
          <m:t>.</m:t>
        </m:r>
      </m:oMath>
      <w:r>
        <w:tab/>
      </w:r>
      <w:r>
        <w:t>(Г1-25)</w:t>
      </w:r>
    </w:p>
    <w:p>
      <w:r>
        <w:t>Пересечение гистограмм — мера сходства, больше означает большее совпадение.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ΔL'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ΔC'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ΔH'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sub>
            </m:s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ΔC'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</m:t>
                    </m:r>
                  </m:sub>
                </m:sSub>
              </m:den>
            </m:f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ΔH'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</m:t>
                    </m:r>
                  </m:sub>
                </m:sSub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,</m:t>
        </m:r>
      </m:oMath>
      <w:r>
        <w:tab/>
      </w:r>
      <w:r>
        <w:t>(Г1-26)</w:t>
      </w:r>
    </w:p>
    <w:p>
      <w:r>
        <w:t>CIEDE2000: использовать kL=kC=kH=1. Все вспомогательные величины вычислять по Sharma–Wu–Dalal; обязательный эталонный backend — skimage.color.deltaE_ciede2000 [Color, CIEtests]. Формула не заменяется ΔE76.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I,E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∈Ω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00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x,y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</m:e>
        </m:nary>
      </m:oMath>
      <w:r>
        <w:tab/>
      </w:r>
      <w:r>
        <w:t>(Г1-27)</w:t>
      </w:r>
    </w:p>
    <w:p>
      <w:r>
        <w:t>RGB преобразуется skimage.color.rgb2lab с illuminant=D65 и observer=2. Усреднять попиксельные ΔE00; сравнение средних цветов — другой метод и отдельный method_id.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b>
          <m:e>
            <m:r>
              <m:t>d</m:t>
            </m:r>
          </m:e>
          <m:sub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b"/>
              </m:rPr>
              <m:t>1</m:t>
            </m:r>
          </m:e>
        </m:nary>
        <m:d>
          <m:dPr>
            <m:begChr m:val="["/>
            <m:endChr m:val="]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≠</m:t>
            </m:r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.</m:t>
        </m:r>
      </m:oMath>
      <w:r>
        <w:tab/>
      </w:r>
      <w:r>
        <w:t>(Ф-4)</w:t>
      </w:r>
    </w:p>
    <w:p>
      <w:r>
        <w:t>m=64 для всех проектных хешей. Дистанция лежит в [0,1]. Хеши сравниваются побитно; знаки битов и порядок обхода фиксируются ниже.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597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Хеш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Однозначное правило реализации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aHash64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Bilinear resize Y до 8 × 8; бит 1, если значение строго больше среднего 64 значений; порядок row-major.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dHash64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Bilinear resize Y до 9 × 8; бит 1, если правый пиксель строго больше левого; 8 × 8 горизонтальных разностей.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pHash64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Bilinear resize Y до 32 × 32; ортонормированное двумерное DCT-II; левый верхний блок 8 × 8. Порог — медиана всех 64 коэффициентов, включая DC; бит 1 при строгом превышении. Указать variant=dc_included.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wHash64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Bilinear resize Y до 32 × 32; Haar DWT, mode=periodization, два уровня; блок cA2 8 × 8. Порог — медиана 64 коэффициентов; бит 1 при строгом превышении. Указать variant=haar_level2.</w:t>
            </w:r>
          </w:p>
        </w:tc>
      </w:tr>
    </w:tbl>
    <w:p>
      <w:pPr>
        <w:spacing w:after="0"/>
      </w:pPr>
    </w:p>
    <w:p>
      <w:r>
        <w:t>Это зафиксированные варианты семейства хешей; совпадение с произвольной внешней библиотекой не предполагается. Для сравнения с другой публикацией воспроизвести её вариант как новый method_id, не подменяя базовый.</w:t>
      </w:r>
    </w:p>
    <w:p>
      <w:pPr>
        <w:pStyle w:val="Heading1"/>
      </w:pPr>
      <w:r>
        <w:t>4 Оценки и настройка порогов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t> </m:t>
        </m:r>
        <m:r>
          <m:rPr>
            <m:nor/>
            <m:sty m:val="p"/>
          </m:rPr>
          <m:t>для расстояний</m:t>
        </m:r>
        <m:r>
          <m:rPr>
            <m:sty m:val="p"/>
          </m:rPr>
          <m:t>,</m:t>
        </m:r>
        <m:r>
          <m:t>  </m:t>
        </m:r>
        <m:r>
          <m:t>s</m:t>
        </m:r>
        <m:r>
          <m:rPr>
            <m:sty m:val="p"/>
          </m:rPr>
          <m:t>=</m:t>
        </m:r>
        <m:r>
          <m:t>S</m:t>
        </m:r>
        <m:r>
          <m:t> </m:t>
        </m:r>
        <m:r>
          <m:rPr>
            <m:nor/>
            <m:sty m:val="p"/>
          </m:rPr>
          <m:t>для сходств</m:t>
        </m:r>
        <m:r>
          <m:rPr>
            <m:sty m:val="p"/>
          </m:rPr>
          <m:t>,</m:t>
        </m:r>
        <m:r>
          <m:t>  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"/>
          </m:rPr>
          <m:t>1</m:t>
        </m:r>
        <m:d>
          <m:dPr>
            <m:begChr m:val="["/>
            <m:endChr m:val="]"/>
            <m:sepChr m:val=""/>
            <m:grow/>
          </m:dPr>
          <m:e>
            <m:r>
              <m:t>s</m:t>
            </m:r>
            <m:r>
              <m:rPr>
                <m:sty m:val="p"/>
              </m:rPr>
              <m:t>≥</m:t>
            </m:r>
            <m:r>
              <m:t>t</m:t>
            </m:r>
          </m:e>
        </m:d>
        <m:r>
          <m:rPr>
            <m:sty m:val="p"/>
          </m:rPr>
          <m:t>.</m:t>
        </m:r>
      </m:oMath>
      <w:r>
        <w:tab/>
      </w:r>
      <w:r>
        <w:t>(Ф-5)</w:t>
      </w:r>
    </w:p>
    <w:p>
      <w:r>
        <w:t>D — MSE, среднее ΔE00 или нормированная дистанция Хэмминга; S — NCC, ZNCC или пересечение гистограмм. Undefined-оценка приводит к отказу, а не к отрицательному score.</w:t>
      </w:r>
    </w:p>
    <w:p>
      <w:pPr>
        <w:keepLines/>
        <w:tabs>
          <w:tab w:pos="4422" w:val="center"/>
          <w:tab w:pos="9298" w:val="right"/>
        </w:tabs>
        <w:spacing w:before="160" w:after="160" w:line="276" w:lineRule="auto"/>
        <w:ind w:firstLine="0"/>
        <w:jc w:val="left"/>
      </w:pPr>
      <w:r>
        <w:tab/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limLow>
          <m:e>
            <m:r>
              <m:rPr>
                <m:sty m:val="p"/>
              </m:rPr>
              <m:t>arg max</m:t>
            </m:r>
          </m:e>
          <m:lim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T</m:t>
            </m:r>
          </m:lim>
        </m:limLow>
        <m:r>
          <m:t> </m:t>
        </m:r>
        <m:sSub>
          <m:e>
            <m:r>
              <m:rPr>
                <m:sty m:val="p"/>
              </m:rPr>
              <m:t>Recall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 </m:t>
        </m:r>
        <m:r>
          <m:rPr>
            <m:nor/>
            <m:sty m:val="p"/>
          </m:rPr>
          <m:t>при условии</m:t>
        </m:r>
        <m:r>
          <m:t> </m:t>
        </m:r>
        <m:sSub>
          <m:e>
            <m:r>
              <m:rPr>
                <m:sty m:val="p"/>
              </m:rPr>
              <m:t>FPR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≤</m:t>
        </m:r>
        <m:r>
          <m:t>α</m:t>
        </m:r>
        <m:r>
          <m:rPr>
            <m:sty m:val="p"/>
          </m:rPr>
          <m:t>,</m:t>
        </m:r>
      </m:oMath>
      <w:r>
        <w:tab/>
      </w:r>
      <w:r>
        <w:t>(Г2-167)</w:t>
      </w:r>
    </w:p>
    <w:p>
      <w:r>
        <w:t>Проектное ограничение α=0.05. Перебрать уникальные validation-score и крайние пороги, учесть правило ≥. Выбрать максимальный Recall_all при FPR_all ≤ α; при равенстве — меньший FPR, затем более строгий порог. Если ни один непустой набор положительных решений не допустим, выбрать порог выше максимального validation-score: все валидные пары получают 0, undefined остаются отказами; явно сообщить нулевой Recall. Порог один на метод для основного опыта, а не отдельный по test-искажению.</w:t>
      </w:r>
    </w:p>
    <w:p>
      <w:pPr>
        <w:pStyle w:val="Heading1"/>
      </w:pPr>
      <w:r>
        <w:t>5 Матрица экспериментов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798"/>
        <w:gridCol w:w="4422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Опыт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5EAF0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Обязательный результат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P1-E1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Официальные выбранные типы KADID, все уровни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Метрики по типу/уровню, общий результат и макроусреднение по original_id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P1-E2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Управляемые отдельные факторы по сетке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Кривые score, Recall_all, FPR_all, Coverage от параметра; шум — по пяти seeds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P1-E3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Перестановка пикселей как контрпример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Проверить неизменность гистограммы при перестановке, показать потерю пространственного различения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P1-E4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Вычислительное время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keepNext w:val="0"/>
              <w:spacing w:line="252" w:lineRule="auto" w:after="6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Отдельно создание представления, сравнение и полное время; правила ТЗ 04</w:t>
            </w:r>
          </w:p>
        </w:tc>
      </w:tr>
    </w:tbl>
    <w:p>
      <w:pPr>
        <w:spacing w:after="0"/>
      </w:pPr>
    </w:p>
    <w:p>
      <w:pPr>
        <w:pStyle w:val="Heading1"/>
      </w:pPr>
      <w:r>
        <w:t>6 Интерфейсы и приёмка</w:t>
      </w:r>
    </w:p>
    <w:p>
      <w:r>
        <w:t>API: prepare_image(path, color_profile); represent(image, method_config); compare(query_repr, reference_repr); score_pair(pair, config). CLI: python -m photometric run --config configs/p1_confirm.yaml. Выходы: predictions.parquet, thresholds.json, representation_cache/ и диагностические кривые; агрегирование выполняет P4.</w:t>
      </w:r>
    </w:p>
    <w:p>
      <w:r>
        <w:rPr>
          <w:b/>
        </w:rPr>
        <w:t xml:space="preserve">ПРИЁМ-Ф1 </w:t>
      </w:r>
      <w:r>
        <w:t>На идентичных непостоянных изображениях: MSE=0, ΔE00=0, NCC=ZNCC=1, histogram intersection=1, hash distance=0 с абсолютным допуском 10⁻⁶. На константах проверить заданные undefined-ветви.</w:t>
      </w:r>
    </w:p>
    <w:p>
      <w:r>
        <w:rPr>
          <w:b/>
        </w:rPr>
        <w:t xml:space="preserve">ПРИЁМ-Ф2 </w:t>
      </w:r>
      <w:r>
        <w:t>Для x=ay+b без clip, a&gt;0, ненулевой дисперсии: ZNCC≈1; при x=y+b MSE=b². Проверить изменение MSE и ΔE00 при смене масштаба [0,1]/[0,255], чтобы исключить смешение единиц.</w:t>
      </w:r>
    </w:p>
    <w:p>
      <w:r>
        <w:rPr>
          <w:b/>
        </w:rPr>
        <w:t xml:space="preserve">ПРИЁМ-Ф3 </w:t>
      </w:r>
      <w:r>
        <w:t>Контрольные пары CIEDE2000 Sharma воспроизводятся с допуском 10⁻⁴ относительно опубликованных значений; ΔE(c,c)=0. Включить эталонные данные теста в fixtures с указанием источника. Не принимать реализацию только по согласованию с другой собственной функцией.</w:t>
      </w:r>
    </w:p>
    <w:p>
      <w:r>
        <w:rPr>
          <w:b/>
        </w:rPr>
        <w:t xml:space="preserve">ПРИЁМ-Ф4 </w:t>
      </w:r>
      <w:r>
        <w:t>Для каждой пары всех методов совпадают ID, разбиение и настройки генератора. Повтор с тем же seed даёт тот же манифест. Нельзя удалять сложные уровни искажения после просмотра результата.</w:t>
      </w:r>
    </w:p>
    <w:p>
      <w:pPr>
        <w:pStyle w:val="Heading1"/>
      </w:pPr>
      <w:r>
        <w:t>Источники и основания требований</w:t>
      </w:r>
    </w:p>
    <w:p>
      <w:r>
        <w:t>Основание математической части: подготовленные главы 1 и 2 диссертации. Обозначение Г1 или Г2 перед номером уравнения указывает главу и исходный номер; локальные уравнения ТЗ задают вычислительную конкретизацию. Внешние источники проверены 23.10.2026.</w:t>
      </w:r>
    </w:p>
    <w:p>
      <w:pPr>
        <w:keepLines/>
        <w:spacing w:line="264" w:lineRule="auto" w:after="80"/>
        <w:ind w:firstLine="0"/>
      </w:pPr>
      <w:r>
        <w:rPr>
          <w:sz w:val="24"/>
        </w:rPr>
        <w:t>KADID: https://database.mmsp-kn.de/kadid-10k-database.html</w:t>
      </w:r>
    </w:p>
    <w:p>
      <w:pPr>
        <w:keepLines/>
        <w:spacing w:line="264" w:lineRule="auto" w:after="80"/>
        <w:ind w:firstLine="0"/>
      </w:pPr>
      <w:r>
        <w:rPr>
          <w:sz w:val="24"/>
        </w:rPr>
        <w:t>Color: https://scikit-image.org/docs/stable/api/skimage.color.html</w:t>
      </w:r>
    </w:p>
    <w:p>
      <w:pPr>
        <w:keepLines/>
        <w:spacing w:line="264" w:lineRule="auto" w:after="80"/>
        <w:ind w:firstLine="0"/>
      </w:pPr>
      <w:r>
        <w:rPr>
          <w:sz w:val="24"/>
        </w:rPr>
        <w:t>CIEtests: https://hajim.rochester.edu/ece/sites/gsharma/ciede2000/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 w:before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120" w:line="360" w:lineRule="auto" w:before="24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60" w:lineRule="auto" w:after="0" w:before="0"/>
      <w:ind w:firstLine="709"/>
      <w:jc w:val="both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60" w:lineRule="auto" w:after="0" w:before="0"/>
      <w:ind w:firstLine="709"/>
      <w:jc w:val="both"/>
    </w:pPr>
    <w:rPr>
      <w:rFonts w:ascii="Times New Roman" w:hAnsi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глобального сравнения изображений</dc:title>
  <dc:subject>Техническое задание на вычислительные эксперименты главы 3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