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0795" w14:textId="6E8F65E7" w:rsidR="000B402C" w:rsidRPr="000B402C" w:rsidRDefault="000B402C" w:rsidP="000B402C">
      <w:pPr>
        <w:widowControl/>
        <w:spacing w:after="0" w:line="360" w:lineRule="atLeast"/>
        <w:outlineLvl w:val="0"/>
        <w:rPr>
          <w:rFonts w:ascii="Arial" w:eastAsia="宋体" w:hAnsi="Arial" w:cs="Arial"/>
          <w:color w:val="1F2329"/>
          <w:kern w:val="36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36"/>
          <w:sz w:val="24"/>
          <w14:ligatures w14:val="none"/>
        </w:rPr>
        <w:t>Long-Only Equity Strategy</w:t>
      </w:r>
    </w:p>
    <w:p w14:paraId="0AA9A231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(Weekly Multi-Factor: Technical Trend + Fundamental Quality + Earnings Momentum)</w:t>
      </w:r>
    </w:p>
    <w:p w14:paraId="28BFFB15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i/>
          <w:iCs/>
          <w:color w:val="1F2329"/>
          <w:kern w:val="0"/>
          <w:sz w:val="24"/>
          <w14:ligatures w14:val="none"/>
        </w:rPr>
        <w:t xml:space="preserve">For Bloomberg </w:t>
      </w:r>
      <w:proofErr w:type="spellStart"/>
      <w:r w:rsidRPr="000B402C">
        <w:rPr>
          <w:rFonts w:ascii="Arial" w:eastAsia="宋体" w:hAnsi="Arial" w:cs="Arial"/>
          <w:i/>
          <w:iCs/>
          <w:color w:val="1F2329"/>
          <w:kern w:val="0"/>
          <w:sz w:val="24"/>
          <w14:ligatures w14:val="none"/>
        </w:rPr>
        <w:t>Backtest</w:t>
      </w:r>
      <w:proofErr w:type="spellEnd"/>
      <w:r w:rsidRPr="000B402C">
        <w:rPr>
          <w:rFonts w:ascii="Arial" w:eastAsia="宋体" w:hAnsi="Arial" w:cs="Arial"/>
          <w:i/>
          <w:iCs/>
          <w:color w:val="1F2329"/>
          <w:kern w:val="0"/>
          <w:sz w:val="24"/>
          <w14:ligatures w14:val="none"/>
        </w:rPr>
        <w:t xml:space="preserve"> (BT) &amp; BQL Implementation</w:t>
      </w:r>
    </w:p>
    <w:p w14:paraId="681020D4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Strategy Overview</w:t>
      </w:r>
    </w:p>
    <w:p w14:paraId="4DC85ACD" w14:textId="77777777" w:rsidR="000B402C" w:rsidRPr="000B402C" w:rsidRDefault="000B402C" w:rsidP="000B402C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Asset Class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: Large-Cap &amp; Mid-Cap Liquid Equities (Global / Regional Index Components)</w:t>
      </w:r>
    </w:p>
    <w:p w14:paraId="1A5058FF" w14:textId="77777777" w:rsidR="000B402C" w:rsidRPr="000B402C" w:rsidRDefault="000B402C" w:rsidP="000B402C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Time Frame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: Weekly Decision Bars (with Daily Confirmation)</w:t>
      </w:r>
    </w:p>
    <w:p w14:paraId="1772DF0B" w14:textId="77777777" w:rsidR="000B402C" w:rsidRPr="000B402C" w:rsidRDefault="000B402C" w:rsidP="000B402C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Strategy Style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: Trend + Quality + Earnings Revision Momentum</w:t>
      </w:r>
    </w:p>
    <w:p w14:paraId="2CE36983" w14:textId="77777777" w:rsidR="000B402C" w:rsidRPr="000B402C" w:rsidRDefault="000B402C" w:rsidP="000B402C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Direction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: Long Only</w:t>
      </w:r>
    </w:p>
    <w:p w14:paraId="2B538921" w14:textId="77777777" w:rsidR="000B402C" w:rsidRPr="000B402C" w:rsidRDefault="000B402C" w:rsidP="000B402C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Rebalance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: Weekly</w:t>
      </w:r>
    </w:p>
    <w:p w14:paraId="3EC075DB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B402C">
        <w:rPr>
          <w:rFonts w:ascii="宋体" w:eastAsia="宋体" w:hAnsi="宋体" w:cs="宋体"/>
          <w:kern w:val="0"/>
          <w:sz w:val="24"/>
          <w14:ligatures w14:val="none"/>
        </w:rPr>
        <w:pict w14:anchorId="7AC02F93">
          <v:rect id="_x0000_i1025" style="width:0;height:1.5pt" o:hrstd="t" o:hrnoshade="t" o:hr="t" fillcolor="#1f2329" stroked="f"/>
        </w:pict>
      </w:r>
    </w:p>
    <w:p w14:paraId="7876153E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1. Universe &amp; Liquidity Filter (First Pass)</w:t>
      </w:r>
    </w:p>
    <w:p w14:paraId="6519DEB0" w14:textId="77777777" w:rsidR="000B402C" w:rsidRPr="000B402C" w:rsidRDefault="000B402C" w:rsidP="000B402C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Market capitalization &gt; USD 5 billion</w:t>
      </w:r>
    </w:p>
    <w:p w14:paraId="2C80E6D2" w14:textId="77777777" w:rsidR="000B402C" w:rsidRPr="000B402C" w:rsidRDefault="000B402C" w:rsidP="000B402C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Average daily trading volume &gt; 1,000,000 shares in the past 20 trading days</w:t>
      </w:r>
    </w:p>
    <w:p w14:paraId="6823DACE" w14:textId="77777777" w:rsidR="000B402C" w:rsidRPr="000B402C" w:rsidRDefault="000B402C" w:rsidP="000B402C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No penny stocks; price &gt; $10</w:t>
      </w:r>
    </w:p>
    <w:p w14:paraId="428E0CD8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B402C">
        <w:rPr>
          <w:rFonts w:ascii="宋体" w:eastAsia="宋体" w:hAnsi="宋体" w:cs="宋体"/>
          <w:kern w:val="0"/>
          <w:sz w:val="24"/>
          <w14:ligatures w14:val="none"/>
        </w:rPr>
        <w:pict w14:anchorId="39EE15CF">
          <v:rect id="_x0000_i1026" style="width:0;height:1.5pt" o:hrstd="t" o:hrnoshade="t" o:hr="t" fillcolor="#1f2329" stroked="f"/>
        </w:pict>
      </w:r>
    </w:p>
    <w:p w14:paraId="5E8F858C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2. Fundamental Quality Filters (Must Satisfy ALL)</w:t>
      </w:r>
    </w:p>
    <w:p w14:paraId="430325D9" w14:textId="77777777" w:rsidR="000B402C" w:rsidRPr="000B402C" w:rsidRDefault="000B402C" w:rsidP="000B402C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Trailing 12-month </w:t>
      </w: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EPS &gt; 0</w:t>
      </w:r>
    </w:p>
    <w:p w14:paraId="6ACFD570" w14:textId="77777777" w:rsidR="000B402C" w:rsidRPr="000B402C" w:rsidRDefault="000B402C" w:rsidP="000B402C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YoY EPS Growth ≥ 15%</w:t>
      </w:r>
    </w:p>
    <w:p w14:paraId="423C2133" w14:textId="77777777" w:rsidR="000B402C" w:rsidRPr="000B402C" w:rsidRDefault="000B402C" w:rsidP="000B402C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YoY Revenue Growth ≥ 10%</w:t>
      </w:r>
    </w:p>
    <w:p w14:paraId="17D27094" w14:textId="77777777" w:rsidR="000B402C" w:rsidRPr="000B402C" w:rsidRDefault="000B402C" w:rsidP="000B402C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ROE (Return on Equity) ≥ 12%</w:t>
      </w:r>
    </w:p>
    <w:p w14:paraId="7F35A971" w14:textId="77777777" w:rsidR="000B402C" w:rsidRPr="000B402C" w:rsidRDefault="000B402C" w:rsidP="000B402C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Debt-to-Equity Ratio ≤ 0.8 (financial leverage control)</w:t>
      </w:r>
    </w:p>
    <w:p w14:paraId="48B23F6C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B402C">
        <w:rPr>
          <w:rFonts w:ascii="宋体" w:eastAsia="宋体" w:hAnsi="宋体" w:cs="宋体"/>
          <w:kern w:val="0"/>
          <w:sz w:val="24"/>
          <w14:ligatures w14:val="none"/>
        </w:rPr>
        <w:pict w14:anchorId="7DC78654">
          <v:rect id="_x0000_i1027" style="width:0;height:1.5pt" o:hrstd="t" o:hrnoshade="t" o:hr="t" fillcolor="#1f2329" stroked="f"/>
        </w:pict>
      </w:r>
    </w:p>
    <w:p w14:paraId="7937F74F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3. Earnings Momentum &amp; Analyst Sentiment</w:t>
      </w:r>
    </w:p>
    <w:p w14:paraId="7317932C" w14:textId="77777777" w:rsidR="000B402C" w:rsidRPr="000B402C" w:rsidRDefault="000B402C" w:rsidP="000B402C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Positive Earnings Surprise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: Actual EPS ≥ Consensus Estimate in the latest quarter</w:t>
      </w:r>
    </w:p>
    <w:p w14:paraId="6A75FA64" w14:textId="77777777" w:rsidR="000B402C" w:rsidRPr="000B402C" w:rsidRDefault="000B402C" w:rsidP="000B402C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Upward Consensus EPS Revision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:</w:t>
      </w:r>
    </w:p>
    <w:p w14:paraId="4B13AE76" w14:textId="77777777" w:rsidR="000B402C" w:rsidRPr="000B402C" w:rsidRDefault="000B402C" w:rsidP="000B402C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Consensus estimate revised up in the past 30 days</w:t>
      </w:r>
    </w:p>
    <w:p w14:paraId="4D18C06E" w14:textId="77777777" w:rsidR="000B402C" w:rsidRPr="000B402C" w:rsidRDefault="000B402C" w:rsidP="000B402C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Number of upward revisions &gt; downward revisions</w:t>
      </w:r>
    </w:p>
    <w:p w14:paraId="499B1473" w14:textId="77777777" w:rsidR="000B402C" w:rsidRPr="000B402C" w:rsidRDefault="000B402C" w:rsidP="000B402C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Analyst Rating Bias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: Net analyst rating ≥ “Buy” (Bloomberg consensus rating)</w:t>
      </w:r>
    </w:p>
    <w:p w14:paraId="5D6C6D79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B402C">
        <w:rPr>
          <w:rFonts w:ascii="宋体" w:eastAsia="宋体" w:hAnsi="宋体" w:cs="宋体"/>
          <w:kern w:val="0"/>
          <w:sz w:val="24"/>
          <w14:ligatures w14:val="none"/>
        </w:rPr>
        <w:pict w14:anchorId="6A794670">
          <v:rect id="_x0000_i1028" style="width:0;height:1.5pt" o:hrstd="t" o:hrnoshade="t" o:hr="t" fillcolor="#1f2329" stroked="f"/>
        </w:pict>
      </w:r>
    </w:p>
    <w:p w14:paraId="23B091CD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4. Technical Trend &amp; Multi-Timeframe Confirmation</w:t>
      </w:r>
    </w:p>
    <w:p w14:paraId="47D62CF4" w14:textId="77777777" w:rsidR="000B402C" w:rsidRPr="000B402C" w:rsidRDefault="000B402C" w:rsidP="000B402C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Weekly Conditions</w:t>
      </w:r>
    </w:p>
    <w:p w14:paraId="7E87716A" w14:textId="77777777" w:rsidR="000B402C" w:rsidRPr="000B402C" w:rsidRDefault="000B402C" w:rsidP="000B402C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Weekly close &gt; </w:t>
      </w: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40-week moving average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(long-term uptrend)</w:t>
      </w:r>
    </w:p>
    <w:p w14:paraId="2D16FB7A" w14:textId="77777777" w:rsidR="000B402C" w:rsidRPr="000B402C" w:rsidRDefault="000B402C" w:rsidP="000B402C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Weekly close &gt; </w:t>
      </w: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13-week moving average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(medium-term strength)</w:t>
      </w:r>
    </w:p>
    <w:p w14:paraId="65BA367C" w14:textId="77777777" w:rsidR="000B402C" w:rsidRPr="000B402C" w:rsidRDefault="000B402C" w:rsidP="000B402C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Weekly MACD line &gt; signal line (bullish trend)</w:t>
      </w:r>
    </w:p>
    <w:p w14:paraId="33C9119C" w14:textId="77777777" w:rsidR="000B402C" w:rsidRPr="000B402C" w:rsidRDefault="000B402C" w:rsidP="000B402C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Weekly RSI between 40 and 65 (no extreme overbought)</w:t>
      </w:r>
    </w:p>
    <w:p w14:paraId="43B549FD" w14:textId="77777777" w:rsidR="000B402C" w:rsidRPr="000B402C" w:rsidRDefault="000B402C" w:rsidP="000B402C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Daily Confirmation (Intra-Week Filter)</w:t>
      </w:r>
    </w:p>
    <w:p w14:paraId="1CE45138" w14:textId="77777777" w:rsidR="000B402C" w:rsidRPr="000B402C" w:rsidRDefault="000B402C" w:rsidP="000B402C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Daily RSI &gt; 50 (short-term positive momentum)</w:t>
      </w:r>
    </w:p>
    <w:p w14:paraId="7E0C90CE" w14:textId="77777777" w:rsidR="000B402C" w:rsidRPr="000B402C" w:rsidRDefault="000B402C" w:rsidP="000B402C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No bearish engulfing pattern on daily chart</w:t>
      </w:r>
    </w:p>
    <w:p w14:paraId="431C2945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B402C">
        <w:rPr>
          <w:rFonts w:ascii="宋体" w:eastAsia="宋体" w:hAnsi="宋体" w:cs="宋体"/>
          <w:kern w:val="0"/>
          <w:sz w:val="24"/>
          <w14:ligatures w14:val="none"/>
        </w:rPr>
        <w:pict w14:anchorId="499035B1">
          <v:rect id="_x0000_i1029" style="width:0;height:1.5pt" o:hrstd="t" o:hrnoshade="t" o:hr="t" fillcolor="#1f2329" stroked="f"/>
        </w:pict>
      </w:r>
    </w:p>
    <w:p w14:paraId="2A680E6A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5. Entry Rule</w:t>
      </w:r>
    </w:p>
    <w:p w14:paraId="74FDC3E2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Enter long at the </w:t>
      </w: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next weekly open</w:t>
      </w:r>
    </w:p>
    <w:p w14:paraId="4650AAF7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if all filters in Sections 1–4 are satisfied.</w:t>
      </w:r>
    </w:p>
    <w:p w14:paraId="1FBB94EF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B402C">
        <w:rPr>
          <w:rFonts w:ascii="宋体" w:eastAsia="宋体" w:hAnsi="宋体" w:cs="宋体"/>
          <w:kern w:val="0"/>
          <w:sz w:val="24"/>
          <w14:ligatures w14:val="none"/>
        </w:rPr>
        <w:pict w14:anchorId="3C689C92">
          <v:rect id="_x0000_i1030" style="width:0;height:1.5pt" o:hrstd="t" o:hrnoshade="t" o:hr="t" fillcolor="#1f2329" stroked="f"/>
        </w:pict>
      </w:r>
    </w:p>
    <w:p w14:paraId="7A4D4812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6. Position Sizing &amp; Risk Management</w:t>
      </w:r>
    </w:p>
    <w:p w14:paraId="01D2E409" w14:textId="77777777" w:rsidR="000B402C" w:rsidRPr="000B402C" w:rsidRDefault="000B402C" w:rsidP="000B402C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Max single position size: </w:t>
      </w: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5% of NAV</w:t>
      </w:r>
    </w:p>
    <w:p w14:paraId="1282ECBD" w14:textId="77777777" w:rsidR="000B402C" w:rsidRPr="000B402C" w:rsidRDefault="000B402C" w:rsidP="000B402C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Max total gross exposure: </w:t>
      </w: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60% of NAV</w:t>
      </w:r>
    </w:p>
    <w:p w14:paraId="43C0BC5E" w14:textId="77777777" w:rsidR="000B402C" w:rsidRPr="000B402C" w:rsidRDefault="000B402C" w:rsidP="000B402C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Initial stop loss: </w:t>
      </w:r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2.0 × Weekly </w:t>
      </w:r>
      <w:proofErr w:type="gramStart"/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ATR(</w:t>
      </w:r>
      <w:proofErr w:type="gramEnd"/>
      <w:r w:rsidRPr="000B402C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14)</w:t>
      </w: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below entry price</w:t>
      </w:r>
    </w:p>
    <w:p w14:paraId="54074B59" w14:textId="77777777" w:rsidR="000B402C" w:rsidRPr="000B402C" w:rsidRDefault="000B402C" w:rsidP="000B402C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Max 15 positions in the portfolio at any time</w:t>
      </w:r>
    </w:p>
    <w:p w14:paraId="36E27012" w14:textId="77777777" w:rsidR="000B402C" w:rsidRPr="000B402C" w:rsidRDefault="000B402C" w:rsidP="000B402C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No pyramiding / adding to existing positions</w:t>
      </w:r>
    </w:p>
    <w:p w14:paraId="27F23B1B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B402C">
        <w:rPr>
          <w:rFonts w:ascii="宋体" w:eastAsia="宋体" w:hAnsi="宋体" w:cs="宋体"/>
          <w:kern w:val="0"/>
          <w:sz w:val="24"/>
          <w14:ligatures w14:val="none"/>
        </w:rPr>
        <w:pict w14:anchorId="144B5BA4">
          <v:rect id="_x0000_i1031" style="width:0;height:1.5pt" o:hrstd="t" o:hrnoshade="t" o:hr="t" fillcolor="#1f2329" stroked="f"/>
        </w:pict>
      </w:r>
    </w:p>
    <w:p w14:paraId="12D2491D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7. Exit Rules (Any Trigger = Full Exit at Next Weekly Open)</w:t>
      </w:r>
    </w:p>
    <w:p w14:paraId="284B89E5" w14:textId="77777777" w:rsidR="000B402C" w:rsidRPr="000B402C" w:rsidRDefault="000B402C" w:rsidP="000B402C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Price hits initial ATR stop loss</w:t>
      </w:r>
    </w:p>
    <w:p w14:paraId="74F5DE0B" w14:textId="77777777" w:rsidR="000B402C" w:rsidRPr="000B402C" w:rsidRDefault="000B402C" w:rsidP="000B402C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Weekly close below 40-week moving average</w:t>
      </w:r>
    </w:p>
    <w:p w14:paraId="1754539E" w14:textId="77777777" w:rsidR="000B402C" w:rsidRPr="000B402C" w:rsidRDefault="000B402C" w:rsidP="000B402C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Weekly MACD bearish crossover (line below signal)</w:t>
      </w:r>
    </w:p>
    <w:p w14:paraId="1918A58C" w14:textId="77777777" w:rsidR="000B402C" w:rsidRPr="000B402C" w:rsidRDefault="000B402C" w:rsidP="000B402C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Latest quarterly EPS turns negative</w:t>
      </w:r>
    </w:p>
    <w:p w14:paraId="6193BAD5" w14:textId="77777777" w:rsidR="000B402C" w:rsidRPr="000B402C" w:rsidRDefault="000B402C" w:rsidP="000B402C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Consensus EPS estimate revised down significantly in 30 days</w:t>
      </w:r>
    </w:p>
    <w:p w14:paraId="7B736873" w14:textId="77777777" w:rsidR="000B402C" w:rsidRPr="000B402C" w:rsidRDefault="000B402C" w:rsidP="000B402C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Weekly RSI &gt; 75 (extreme overbought profit-taking)</w:t>
      </w:r>
    </w:p>
    <w:p w14:paraId="157AF346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B402C">
        <w:rPr>
          <w:rFonts w:ascii="宋体" w:eastAsia="宋体" w:hAnsi="宋体" w:cs="宋体"/>
          <w:kern w:val="0"/>
          <w:sz w:val="24"/>
          <w14:ligatures w14:val="none"/>
        </w:rPr>
        <w:pict w14:anchorId="2A076AD0">
          <v:rect id="_x0000_i1032" style="width:0;height:1.5pt" o:hrstd="t" o:hrnoshade="t" o:hr="t" fillcolor="#1f2329" stroked="f"/>
        </w:pict>
      </w:r>
    </w:p>
    <w:p w14:paraId="28D382B2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8. </w:t>
      </w:r>
      <w:proofErr w:type="spellStart"/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Backtest</w:t>
      </w:r>
      <w:proofErr w:type="spellEnd"/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Specifications for Bloomberg</w:t>
      </w:r>
    </w:p>
    <w:p w14:paraId="5549BE54" w14:textId="77777777" w:rsidR="000B402C" w:rsidRPr="000B402C" w:rsidRDefault="000B402C" w:rsidP="000B402C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Data period: At least 10 years</w:t>
      </w:r>
    </w:p>
    <w:p w14:paraId="09178A4A" w14:textId="77777777" w:rsidR="000B402C" w:rsidRPr="000B402C" w:rsidRDefault="000B402C" w:rsidP="000B402C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Execution: Next weekly open</w:t>
      </w:r>
    </w:p>
    <w:p w14:paraId="6720F054" w14:textId="77777777" w:rsidR="000B402C" w:rsidRPr="000B402C" w:rsidRDefault="000B402C" w:rsidP="000B402C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Transaction cost: 0.10% per trade</w:t>
      </w:r>
    </w:p>
    <w:p w14:paraId="75B0B03D" w14:textId="77777777" w:rsidR="000B402C" w:rsidRPr="000B402C" w:rsidRDefault="000B402C" w:rsidP="000B402C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Slippage: 0.05% per trade</w:t>
      </w:r>
    </w:p>
    <w:p w14:paraId="1665F951" w14:textId="77777777" w:rsidR="000B402C" w:rsidRPr="000B402C" w:rsidRDefault="000B402C" w:rsidP="000B402C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Dividends: Reinvested</w:t>
      </w:r>
    </w:p>
    <w:p w14:paraId="611A544B" w14:textId="77777777" w:rsidR="000B402C" w:rsidRPr="000B402C" w:rsidRDefault="000B402C" w:rsidP="000B402C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Survivorship bias: Adjusted</w:t>
      </w:r>
    </w:p>
    <w:p w14:paraId="4A20A01B" w14:textId="77777777" w:rsidR="000B402C" w:rsidRPr="000B402C" w:rsidRDefault="000B402C" w:rsidP="000B402C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0B402C">
        <w:rPr>
          <w:rFonts w:ascii="宋体" w:eastAsia="宋体" w:hAnsi="宋体" w:cs="宋体"/>
          <w:kern w:val="0"/>
          <w:sz w:val="24"/>
          <w14:ligatures w14:val="none"/>
        </w:rPr>
        <w:pict w14:anchorId="799964EE">
          <v:rect id="_x0000_i1033" style="width:0;height:1.5pt" o:hrstd="t" o:hrnoshade="t" o:hr="t" fillcolor="#1f2329" stroked="f"/>
        </w:pict>
      </w:r>
    </w:p>
    <w:p w14:paraId="60AB03FF" w14:textId="77777777" w:rsidR="000B402C" w:rsidRPr="000B402C" w:rsidRDefault="000B402C" w:rsidP="000B402C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9. Performance Metrics Required</w:t>
      </w:r>
    </w:p>
    <w:p w14:paraId="1BC545D3" w14:textId="77777777" w:rsidR="000B402C" w:rsidRPr="000B402C" w:rsidRDefault="000B402C" w:rsidP="000B402C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Total return &amp; Annualized return</w:t>
      </w:r>
    </w:p>
    <w:p w14:paraId="7A14709D" w14:textId="77777777" w:rsidR="000B402C" w:rsidRPr="000B402C" w:rsidRDefault="000B402C" w:rsidP="000B402C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Sharpe Ratio</w:t>
      </w:r>
    </w:p>
    <w:p w14:paraId="7D312361" w14:textId="77777777" w:rsidR="000B402C" w:rsidRPr="000B402C" w:rsidRDefault="000B402C" w:rsidP="000B402C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Max Drawdown</w:t>
      </w:r>
    </w:p>
    <w:p w14:paraId="61273340" w14:textId="77777777" w:rsidR="000B402C" w:rsidRPr="000B402C" w:rsidRDefault="000B402C" w:rsidP="000B402C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Win Rate</w:t>
      </w:r>
    </w:p>
    <w:p w14:paraId="37E6178F" w14:textId="77777777" w:rsidR="000B402C" w:rsidRPr="000B402C" w:rsidRDefault="000B402C" w:rsidP="000B402C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Profit Factor</w:t>
      </w:r>
    </w:p>
    <w:p w14:paraId="1122A5B7" w14:textId="77777777" w:rsidR="000B402C" w:rsidRPr="000B402C" w:rsidRDefault="000B402C" w:rsidP="000B402C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Number of trades</w:t>
      </w:r>
    </w:p>
    <w:p w14:paraId="793C0C02" w14:textId="77777777" w:rsidR="000B402C" w:rsidRPr="000B402C" w:rsidRDefault="000B402C" w:rsidP="000B402C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Average holding period (weeks)</w:t>
      </w:r>
    </w:p>
    <w:p w14:paraId="0FA5A137" w14:textId="77777777" w:rsidR="000B402C" w:rsidRPr="000B402C" w:rsidRDefault="000B402C" w:rsidP="000B402C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B402C">
        <w:rPr>
          <w:rFonts w:ascii="Arial" w:eastAsia="宋体" w:hAnsi="Arial" w:cs="Arial"/>
          <w:color w:val="1F2329"/>
          <w:kern w:val="0"/>
          <w:sz w:val="24"/>
          <w14:ligatures w14:val="none"/>
        </w:rPr>
        <w:t>Annual turnover</w:t>
      </w:r>
    </w:p>
    <w:p w14:paraId="4097E1AD" w14:textId="77777777" w:rsidR="00220D75" w:rsidRDefault="00220D75"/>
    <w:sectPr w:rsidR="00220D75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07D"/>
    <w:multiLevelType w:val="multilevel"/>
    <w:tmpl w:val="259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A441C"/>
    <w:multiLevelType w:val="multilevel"/>
    <w:tmpl w:val="61BA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07A37"/>
    <w:multiLevelType w:val="multilevel"/>
    <w:tmpl w:val="DA00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E4367"/>
    <w:multiLevelType w:val="multilevel"/>
    <w:tmpl w:val="FB6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F6F08"/>
    <w:multiLevelType w:val="multilevel"/>
    <w:tmpl w:val="92A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C6048"/>
    <w:multiLevelType w:val="multilevel"/>
    <w:tmpl w:val="02EC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1043A3"/>
    <w:multiLevelType w:val="multilevel"/>
    <w:tmpl w:val="218A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6662F2"/>
    <w:multiLevelType w:val="multilevel"/>
    <w:tmpl w:val="3302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B90641"/>
    <w:multiLevelType w:val="multilevel"/>
    <w:tmpl w:val="2AE0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4728F7"/>
    <w:multiLevelType w:val="multilevel"/>
    <w:tmpl w:val="7D42C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257738">
    <w:abstractNumId w:val="0"/>
  </w:num>
  <w:num w:numId="2" w16cid:durableId="1614559780">
    <w:abstractNumId w:val="8"/>
  </w:num>
  <w:num w:numId="3" w16cid:durableId="372268212">
    <w:abstractNumId w:val="2"/>
  </w:num>
  <w:num w:numId="4" w16cid:durableId="2085368080">
    <w:abstractNumId w:val="1"/>
  </w:num>
  <w:num w:numId="5" w16cid:durableId="584151343">
    <w:abstractNumId w:val="6"/>
  </w:num>
  <w:num w:numId="6" w16cid:durableId="407313349">
    <w:abstractNumId w:val="5"/>
  </w:num>
  <w:num w:numId="7" w16cid:durableId="1803384492">
    <w:abstractNumId w:val="7"/>
  </w:num>
  <w:num w:numId="8" w16cid:durableId="663436513">
    <w:abstractNumId w:val="9"/>
  </w:num>
  <w:num w:numId="9" w16cid:durableId="385957977">
    <w:abstractNumId w:val="3"/>
  </w:num>
  <w:num w:numId="10" w16cid:durableId="88298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36"/>
    <w:rsid w:val="000B402C"/>
    <w:rsid w:val="001A0DDB"/>
    <w:rsid w:val="00220D75"/>
    <w:rsid w:val="00B97036"/>
    <w:rsid w:val="00FF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35375A"/>
  <w15:chartTrackingRefBased/>
  <w15:docId w15:val="{20BDE8E0-C11B-4178-A13D-3E35D4B8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0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0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0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0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0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0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0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0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0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0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0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0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0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0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0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0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0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0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0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0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0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0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7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davidliweiqiang@sina.com</dc:creator>
  <cp:keywords/>
  <dc:description/>
  <cp:lastModifiedBy>davidliweiqiang@sina.com</cp:lastModifiedBy>
  <cp:revision>2</cp:revision>
  <dcterms:created xsi:type="dcterms:W3CDTF">2026-04-23T01:57:00Z</dcterms:created>
  <dcterms:modified xsi:type="dcterms:W3CDTF">2026-04-23T01:57:00Z</dcterms:modified>
</cp:coreProperties>
</file>