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1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Biomedical (novel)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HRV cycle-to-cycle waveform distance &amp; Poincaré SD1/SD2; Hjorth mobility/complexity; permutation/spectral/sample/dispersion entropy; Higuchi/Katz/Petrosian fractal dimension (on the residual &amp; Park modulus)</w:t>
            </w:r>
          </w:p>
        </w:tc>
      </w:tr>
    </w:tbl>
    <w:bookmarkEnd w:id="25"/>
    <w:bookmarkEnd w:id="26"/>
    <w:bookmarkStart w:id="27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Beyond the physics descriptors we introduce a block of</w:t>
      </w:r>
      <w:r>
        <w:t xml:space="preserve"> </w:t>
      </w:r>
      <w:r>
        <w:rPr>
          <w:i/>
          <w:iCs/>
        </w:rPr>
        <w:t xml:space="preserve">biomedical anomaly-detection features</w:t>
      </w:r>
      <w:r>
        <w:t xml:space="preserve"> </w:t>
      </w:r>
      <w:r>
        <w:t xml:space="preserve">transferred from ECG/EEG/heart-rate-variability (HRV) analysis—a view absent from the motor-fault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spectral</w:t>
      </w:r>
      <w:r>
        <w:rPr>
          <w:i/>
          <w:iCs/>
        </w:rPr>
        <w:t xml:space="preserve"> </w:t>
      </w:r>
      <w:r>
        <w:rPr>
          <w:i/>
          <w:iCs/>
        </w:rPr>
        <w:t xml:space="preserve">line moves</w:t>
      </w:r>
      <w:r>
        <w:t xml:space="preserve">, 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 that an inter-turn short</w:t>
      </w:r>
      <w:r>
        <w:t xml:space="preserve"> </w:t>
      </w:r>
      <w:r>
        <w:t xml:space="preserve">makes the waveform less regular and more complex within and across cycles, which signal-complexity</w:t>
      </w:r>
      <w:r>
        <w:t xml:space="preserve"> </w:t>
      </w:r>
      <w:r>
        <w:t xml:space="preserve">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</w:t>
      </w:r>
      <w:r>
        <w:t xml:space="preserve"> </w:t>
      </w:r>
      <w:r>
        <w:t xml:space="preserve">fitted fundamental) and the Park-vector modulus—not the raw current, whose clean fundamental is</w:t>
      </w:r>
      <w:r>
        <w:t xml:space="preserve"> </w:t>
      </w:r>
      <w:r>
        <w:t xml:space="preserve">trivially predictable. Three groups are used: (i) an</w:t>
      </w:r>
      <w:r>
        <w:t xml:space="preserve"> </w:t>
      </w:r>
      <w:r>
        <w:rPr>
          <w:i/>
          <w:iCs/>
        </w:rPr>
        <w:t xml:space="preserve">HRV-on-current</w:t>
      </w:r>
      <w:r>
        <w:t xml:space="preserve"> </w:t>
      </w:r>
      <w:r>
        <w:t xml:space="preserve">block that treats each</w:t>
      </w:r>
      <w:r>
        <w:t xml:space="preserve"> </w:t>
      </w:r>
      <w:r>
        <w:t xml:space="preserve">fundamental cycle as a heartbeat—cycle-to-cycle waveform distance to the median cycle and</w:t>
      </w:r>
      <w:r>
        <w:t xml:space="preserve"> </w:t>
      </w:r>
      <w:r>
        <w:t xml:space="preserve">Poincaré descriptors (SD1, SD2, SD1/SD2) of the per-cycle RMS series, the direct analog of</w:t>
      </w:r>
      <w:r>
        <w:t xml:space="preserve"> </w:t>
      </w:r>
      <w:r>
        <w:t xml:space="preserve">HRV </w:t>
      </w:r>
      <w:r>
        <w:t xml:space="preserve"> </w:t>
      </w:r>
      <w:r>
        <w:t xml:space="preserve">and the most physically faithful import, since the fault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irregularity; (ii) complexity scalars—Hjorth mobility and complexity </w:t>
      </w:r>
      <w:r>
        <w:t xml:space="preserve">,</w:t>
      </w:r>
      <w:r>
        <w:t xml:space="preserve"> </w:t>
      </w:r>
      <w:r>
        <w:t xml:space="preserve">permutation </w:t>
      </w:r>
      <w:r>
        <w:t xml:space="preserve"> </w:t>
      </w:r>
      <w:r>
        <w:t xml:space="preserve">and spectral entropy, sample </w:t>
      </w:r>
      <w:r>
        <w:t xml:space="preserve"> </w:t>
      </w:r>
      <w:r>
        <w:t xml:space="preserve">and dispersion</w:t>
      </w:r>
      <w:r>
        <w:t xml:space="preserve"> </w:t>
      </w:r>
      <w:r>
        <w:t xml:space="preserve">entropy </w:t>
      </w:r>
      <w:r>
        <w:t xml:space="preserve">; and (iii) fractal dimension—Higuchi </w:t>
      </w:r>
      <w:r>
        <w:t xml:space="preserve">, Katz and</w:t>
      </w:r>
      <w:r>
        <w:t xml:space="preserve"> </w:t>
      </w:r>
      <w:r>
        <w:t xml:space="preserve">Petrosian. The complexity and fractal members are amplitude-scale-free, which (Table </w:t>
      </w:r>
      <w:r>
        <w:t xml:space="preserve">)</w:t>
      </w:r>
      <w:r>
        <w:t xml:space="preserve"> </w:t>
      </w:r>
      <w:r>
        <w:t xml:space="preserve">aids cross-load generalization. The</w:t>
      </w:r>
      <w:r>
        <w:t xml:space="preserve"> </w:t>
      </w:r>
      <m:oMath>
        <m:r>
          <m:t>24</m:t>
        </m:r>
      </m:oMath>
      <w:r>
        <w:t xml:space="preserve">-feature block adds no heavy computation 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</w:t>
      </w:r>
      <w:r>
        <w:t xml:space="preserve"> </w:t>
      </w:r>
      <w:r>
        <w:t xml:space="preserve">matrices) and is appended to the physics bank.</w:t>
      </w:r>
    </w:p>
    <w:bookmarkEnd w:id="27"/>
    <w:bookmarkStart w:id="28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28"/>
    <w:bookmarkStart w:id="29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9"/>
    <w:bookmarkStart w:id="30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30"/>
    <w:bookmarkEnd w:id="31"/>
    <w:bookmarkStart w:id="34" w:name="X09c2d7e219a67eb098139688f168fa7f98f8065"/>
    <w:p>
      <w:pPr>
        <w:pStyle w:val="Heading1"/>
      </w:pPr>
      <w:r>
        <w:t xml:space="preserve">Experimental Setup and Dataset Preparation</w:t>
      </w:r>
    </w:p>
    <w:bookmarkStart w:id="32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2"/>
    <w:bookmarkStart w:id="33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3"/>
    <w:bookmarkEnd w:id="34"/>
    <w:bookmarkStart w:id="104" w:name="performance-evaluation"/>
    <w:p>
      <w:pPr>
        <w:pStyle w:val="Heading1"/>
      </w:pPr>
      <w:r>
        <w:t xml:space="preserve">Performance Evaluation</w:t>
      </w:r>
    </w:p>
    <w:bookmarkStart w:id="35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5"/>
    <w:bookmarkStart w:id="52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6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6"/>
    <w:bookmarkStart w:id="43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3"/>
    <w:bookmarkStart w:id="47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7"/>
    <w:bookmarkStart w:id="51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1"/>
    <w:bookmarkEnd w:id="52"/>
    <w:bookmarkStart w:id="59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3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3"/>
    <w:bookmarkStart w:id="57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7"/>
    <w:bookmarkStart w:id="58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8"/>
    <w:bookmarkEnd w:id="59"/>
    <w:bookmarkStart w:id="70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3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3"/>
    <w:bookmarkStart w:id="67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7"/>
    <w:bookmarkStart w:id="68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8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9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9"/>
    <w:bookmarkEnd w:id="70"/>
    <w:bookmarkStart w:id="72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1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1"/>
    <w:bookmarkEnd w:id="72"/>
    <w:bookmarkStart w:id="86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3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3"/>
    <w:bookmarkStart w:id="74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4"/>
    <w:bookmarkStart w:id="81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9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1"/>
    <w:bookmarkStart w:id="85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5"/>
    <w:bookmarkEnd w:id="86"/>
    <w:bookmarkStart w:id="98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87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87"/>
    <w:bookmarkStart w:id="97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89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2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5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97"/>
    <w:bookmarkEnd w:id="98"/>
    <w:bookmarkStart w:id="100" w:name="biomedical-anomaly-features-ablation"/>
    <w:p>
      <w:pPr>
        <w:pStyle w:val="Heading2"/>
      </w:pPr>
      <w:r>
        <w:t xml:space="preserve">Biomedical Anomaly Features (Ablation)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99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99"/>
    <w:bookmarkEnd w:id="100"/>
    <w:bookmarkStart w:id="102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101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101"/>
    <w:bookmarkEnd w:id="102"/>
    <w:bookmarkStart w:id="103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03"/>
    <w:bookmarkEnd w:id="104"/>
    <w:bookmarkStart w:id="10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05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0" Type="http://schemas.openxmlformats.org/officeDocument/2006/relationships/image" Target="media/rId60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88" Type="http://schemas.openxmlformats.org/officeDocument/2006/relationships/image" Target="media/rId88.png"/><Relationship Id="rId94" Type="http://schemas.openxmlformats.org/officeDocument/2006/relationships/image" Target="media/rId94.png"/><Relationship Id="rId91" Type="http://schemas.openxmlformats.org/officeDocument/2006/relationships/image" Target="media/rId91.png"/><Relationship Id="rId64" Type="http://schemas.openxmlformats.org/officeDocument/2006/relationships/image" Target="media/rId64.png"/><Relationship Id="rId78" Type="http://schemas.openxmlformats.org/officeDocument/2006/relationships/image" Target="media/rId78.png"/><Relationship Id="rId75" Type="http://schemas.openxmlformats.org/officeDocument/2006/relationships/image" Target="media/rId75.png"/><Relationship Id="rId82" Type="http://schemas.openxmlformats.org/officeDocument/2006/relationships/image" Target="media/rId82.png"/><Relationship Id="rId37" Type="http://schemas.openxmlformats.org/officeDocument/2006/relationships/image" Target="media/rId37.png"/><Relationship Id="rId48" Type="http://schemas.openxmlformats.org/officeDocument/2006/relationships/image" Target="media/rId48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2026-05-27T18:49:30Z</dcterms:created>
  <dcterms:modified xsi:type="dcterms:W3CDTF">2026-05-27T18:49:30Z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