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1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Biomedical (novel)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HRV cycle-to-cycle waveform distance &amp; Poincaré SD1/SD2; Hjorth mobility/complexity; permutation/spectral/sample/dispersion entropy; Higuchi/Katz/Petrosian fractal dimension (on the residual &amp; Park modulus)</w:t>
            </w:r>
          </w:p>
        </w:tc>
      </w:tr>
    </w:tbl>
    <w:bookmarkEnd w:id="25"/>
    <w:bookmarkEnd w:id="26"/>
    <w:bookmarkStart w:id="27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Beyond the physics descriptors we introduce a block of</w:t>
      </w:r>
      <w:r>
        <w:t xml:space="preserve"> </w:t>
      </w:r>
      <w:r>
        <w:rPr>
          <w:i/>
          <w:iCs/>
        </w:rPr>
        <w:t xml:space="preserve">biomedical anomaly-detection features</w:t>
      </w:r>
      <w:r>
        <w:t xml:space="preserve"> </w:t>
      </w:r>
      <w:r>
        <w:t xml:space="preserve">transferred from ECG/EEG/heart-rate-variability (HRV) analysis—a view absent from the motor-fault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spectral</w:t>
      </w:r>
      <w:r>
        <w:rPr>
          <w:i/>
          <w:iCs/>
        </w:rPr>
        <w:t xml:space="preserve"> </w:t>
      </w:r>
      <w:r>
        <w:rPr>
          <w:i/>
          <w:iCs/>
        </w:rPr>
        <w:t xml:space="preserve">line moves</w:t>
      </w:r>
      <w:r>
        <w:t xml:space="preserve">, 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 that an inter-turn short</w:t>
      </w:r>
      <w:r>
        <w:t xml:space="preserve"> </w:t>
      </w:r>
      <w:r>
        <w:t xml:space="preserve">makes the waveform less regular and more complex within and across cycles, which signal-complexity</w:t>
      </w:r>
      <w:r>
        <w:t xml:space="preserve"> </w:t>
      </w:r>
      <w:r>
        <w:t xml:space="preserve">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</w:t>
      </w:r>
      <w:r>
        <w:t xml:space="preserve"> </w:t>
      </w:r>
      <w:r>
        <w:t xml:space="preserve">fitted fundamental) and the Park-vector modulus—not the raw current, whose clean fundamental is</w:t>
      </w:r>
      <w:r>
        <w:t xml:space="preserve"> </w:t>
      </w:r>
      <w:r>
        <w:t xml:space="preserve">trivially predictable. Three groups are used: (i) an</w:t>
      </w:r>
      <w:r>
        <w:t xml:space="preserve"> </w:t>
      </w:r>
      <w:r>
        <w:rPr>
          <w:i/>
          <w:iCs/>
        </w:rPr>
        <w:t xml:space="preserve">HRV-on-current</w:t>
      </w:r>
      <w:r>
        <w:t xml:space="preserve"> </w:t>
      </w:r>
      <w:r>
        <w:t xml:space="preserve">block that treats each</w:t>
      </w:r>
      <w:r>
        <w:t xml:space="preserve"> </w:t>
      </w:r>
      <w:r>
        <w:t xml:space="preserve">fundamental cycle as a heartbeat—cycle-to-cycle waveform distance to the median cycle and</w:t>
      </w:r>
      <w:r>
        <w:t xml:space="preserve"> </w:t>
      </w:r>
      <w:r>
        <w:t xml:space="preserve">Poincaré descriptors (SD1, SD2, SD1/SD2) of the per-cycle RMS series, the direct analog of</w:t>
      </w:r>
      <w:r>
        <w:t xml:space="preserve"> </w:t>
      </w:r>
      <w:r>
        <w:t xml:space="preserve">HRV </w:t>
      </w:r>
      <w:r>
        <w:t xml:space="preserve"> </w:t>
      </w:r>
      <w:r>
        <w:t xml:space="preserve">and the most physically faithful import, since the fault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irregularity; (ii) complexity scalars—Hjorth mobility and complexity </w:t>
      </w:r>
      <w:r>
        <w:t xml:space="preserve">,</w:t>
      </w:r>
      <w:r>
        <w:t xml:space="preserve"> </w:t>
      </w:r>
      <w:r>
        <w:t xml:space="preserve">permutation </w:t>
      </w:r>
      <w:r>
        <w:t xml:space="preserve"> </w:t>
      </w:r>
      <w:r>
        <w:t xml:space="preserve">and spectral entropy, sample </w:t>
      </w:r>
      <w:r>
        <w:t xml:space="preserve"> </w:t>
      </w:r>
      <w:r>
        <w:t xml:space="preserve">and dispersion</w:t>
      </w:r>
      <w:r>
        <w:t xml:space="preserve"> </w:t>
      </w:r>
      <w:r>
        <w:t xml:space="preserve">entropy </w:t>
      </w:r>
      <w:r>
        <w:t xml:space="preserve">; and (iii) fractal dimension—Higuchi </w:t>
      </w:r>
      <w:r>
        <w:t xml:space="preserve">, Katz and</w:t>
      </w:r>
      <w:r>
        <w:t xml:space="preserve"> </w:t>
      </w:r>
      <w:r>
        <w:t xml:space="preserve">Petrosian. The complexity and fractal members are amplitude-scale-free, which (Table </w:t>
      </w:r>
      <w:r>
        <w:t xml:space="preserve">)</w:t>
      </w:r>
      <w:r>
        <w:t xml:space="preserve"> </w:t>
      </w:r>
      <w:r>
        <w:t xml:space="preserve">aids cross-load generalization. The</w:t>
      </w:r>
      <w:r>
        <w:t xml:space="preserve"> </w:t>
      </w:r>
      <m:oMath>
        <m:r>
          <m:t>24</m:t>
        </m:r>
      </m:oMath>
      <w:r>
        <w:t xml:space="preserve">-feature block adds no heavy computation 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</w:t>
      </w:r>
      <w:r>
        <w:t xml:space="preserve"> </w:t>
      </w:r>
      <w:r>
        <w:t xml:space="preserve">matrices) and is appended to the physics bank.</w:t>
      </w:r>
    </w:p>
    <w:bookmarkEnd w:id="27"/>
    <w:bookmarkStart w:id="28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28"/>
    <w:bookmarkStart w:id="29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9"/>
    <w:bookmarkStart w:id="30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30"/>
    <w:bookmarkEnd w:id="31"/>
    <w:bookmarkStart w:id="34" w:name="X09c2d7e219a67eb098139688f168fa7f98f8065"/>
    <w:p>
      <w:pPr>
        <w:pStyle w:val="Heading1"/>
      </w:pPr>
      <w:r>
        <w:t xml:space="preserve">Experimental Setup and Dataset Preparation</w:t>
      </w:r>
    </w:p>
    <w:bookmarkStart w:id="32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2"/>
    <w:bookmarkStart w:id="33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3"/>
    <w:bookmarkEnd w:id="34"/>
    <w:bookmarkStart w:id="113" w:name="performance-evaluation"/>
    <w:p>
      <w:pPr>
        <w:pStyle w:val="Heading1"/>
      </w:pPr>
      <w:r>
        <w:t xml:space="preserve">Performance Evaluation</w:t>
      </w:r>
    </w:p>
    <w:bookmarkStart w:id="35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5"/>
    <w:bookmarkStart w:id="52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6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6"/>
    <w:bookmarkStart w:id="43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3"/>
    <w:bookmarkStart w:id="47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7"/>
    <w:bookmarkStart w:id="51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1"/>
    <w:bookmarkEnd w:id="52"/>
    <w:bookmarkStart w:id="59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3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3"/>
    <w:bookmarkStart w:id="57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7"/>
    <w:bookmarkStart w:id="58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8"/>
    <w:bookmarkEnd w:id="59"/>
    <w:bookmarkStart w:id="70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3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3"/>
    <w:bookmarkStart w:id="67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7"/>
    <w:bookmarkStart w:id="68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8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9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9"/>
    <w:bookmarkEnd w:id="70"/>
    <w:bookmarkStart w:id="72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1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1"/>
    <w:bookmarkEnd w:id="72"/>
    <w:bookmarkStart w:id="86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3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3"/>
    <w:bookmarkStart w:id="74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4"/>
    <w:bookmarkStart w:id="81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9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1"/>
    <w:bookmarkStart w:id="85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5"/>
    <w:bookmarkEnd w:id="86"/>
    <w:bookmarkStart w:id="98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87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87"/>
    <w:bookmarkStart w:id="97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89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2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5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97"/>
    <w:bookmarkEnd w:id="98"/>
    <w:bookmarkStart w:id="100" w:name="biomedical-anomaly-features-ablation"/>
    <w:p>
      <w:pPr>
        <w:pStyle w:val="Heading2"/>
      </w:pPr>
      <w:r>
        <w:t xml:space="preserve">Biomedical Anomaly Features (Ablation)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99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99"/>
    <w:bookmarkEnd w:id="100"/>
    <w:bookmarkStart w:id="109" w:name="feature-importance-and-reduction"/>
    <w:p>
      <w:pPr>
        <w:pStyle w:val="Heading2"/>
      </w:pPr>
      <w:r>
        <w:t xml:space="preserve">Feature Importance and Reduction</w:t>
      </w:r>
    </w:p>
    <w:p>
      <w:pPr>
        <w:pStyle w:val="FirstParagraph"/>
      </w:pPr>
      <w:r>
        <w:rPr>
          <w:i/>
          <w:iCs/>
        </w:rPr>
        <w:t xml:space="preserve">Importance.</w:t>
      </w:r>
      <w:r>
        <w:t xml:space="preserve"> </w:t>
      </w:r>
      <w:r>
        <w:t xml:space="preserve">Fig. </w:t>
      </w:r>
      <w:r>
        <w:t xml:space="preserve"> </w:t>
      </w:r>
      <w:r>
        <w:t xml:space="preserve">ranks the features that drive the models. For detection, SHAP</w:t>
      </w:r>
      <w:r>
        <w:t xml:space="preserve"> </w:t>
      </w:r>
      <w:r>
        <w:t xml:space="preserve">attribution (a) is led by the Park-vector major axis and eccentricity, the zero/negative-sequence ratios,</w:t>
      </w:r>
      <w:r>
        <w:t xml:space="preserve"> </w:t>
      </w:r>
      <w:r>
        <w:t xml:space="preserve">inter-phase RMS differences, and the EPVA severity factor—all physical inter-turn signatures,</w:t>
      </w:r>
      <w:r>
        <w:t xml:space="preserve"> </w:t>
      </w:r>
      <w:r>
        <w:t xml:space="preserve">confirming the models exploit fault physics rather than dataset shortcuts. Among the novel biomedical</w:t>
      </w:r>
      <w:r>
        <w:t xml:space="preserve"> </w:t>
      </w:r>
      <w:r>
        <w:t xml:space="preserve">features (b), the Park-modulus Hjorth parameters, the residual Higuchi/Petrosian fractal dimension and</w:t>
      </w:r>
      <w:r>
        <w:t xml:space="preserve"> </w:t>
      </w:r>
      <w:r>
        <w:t xml:space="preserve">permutation entropy, and dispersion entropy carry the most weight on the (hardest) severity task,</w:t>
      </w:r>
      <w:r>
        <w:t xml:space="preserve"> </w:t>
      </w:r>
      <w:r>
        <w:t xml:space="preserve">explaining their cross-load gains (Table </w:t>
      </w:r>
      <w:r>
        <w:t xml:space="preserve">).</w:t>
      </w:r>
      <w:r>
        <w:t xml:space="preserve"> </w:t>
      </w:r>
      <w:r>
        <w:rPr>
          <w:i/>
          <w:iCs/>
        </w:rPr>
        <w:t xml:space="preserve">Reduction.</w:t>
      </w:r>
      <w:r>
        <w:t xml:space="preserve"> </w:t>
      </w:r>
      <w:r>
        <w:t xml:space="preserve">Because many features are</w:t>
      </w:r>
      <w:r>
        <w:t xml:space="preserve"> </w:t>
      </w:r>
      <w:r>
        <w:t xml:space="preserve">redundant or load-dependent, we reduce the bank with the load-invariance-regularized criterion of</w:t>
      </w:r>
      <w:r>
        <w:t xml:space="preserve"> </w:t>
      </w:r>
      <w:r>
        <w:t xml:space="preserve">Section II-F (LIR-mRMR). Fig. </w:t>
      </w:r>
      <w:r>
        <w:t xml:space="preserve"> </w:t>
      </w:r>
      <w:r>
        <w:t xml:space="preserve">compares it with plain mRMR: at a compact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features LIR-mRMR reaches cross-load (LOLO) severity within-one of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versus 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(a) while</w:t>
      </w:r>
      <w:r>
        <w:t xml:space="preserve"> </w:t>
      </w:r>
      <w:r>
        <w:t xml:space="preserve">roughly halving the selected features’ across-load drift (b,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0.38</m:t>
        </m:r>
      </m:oMath>
      <w:r>
        <w:t xml:space="preserve">), because it explicitly</w:t>
      </w:r>
      <w:r>
        <w:t xml:space="preserve"> </w:t>
      </w:r>
      <w:r>
        <w:t xml:space="preserve">penalizes features whose class-conditional mean shifts with load. The selected subset is dimensionless and</w:t>
      </w:r>
      <w:r>
        <w:t xml:space="preserve"> </w:t>
      </w:r>
      <w:r>
        <w:t xml:space="preserve">physics-traceable (negative-sequence angle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imbalance,</w:t>
      </w:r>
      <w:r>
        <w:t xml:space="preserve"> </w:t>
      </w:r>
      <w:r>
        <w:t xml:space="preserve">per-phase skew)—a desirable property for safety-critical monitoring—and approaches the full</w:t>
      </w:r>
      <w:r>
        <w:t xml:space="preserve"> </w:t>
      </w:r>
      <w:r>
        <w:t xml:space="preserve">72-feature accuracy with an order of magnitude fewer inputs.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dip reflects greedy-selection</w:t>
      </w:r>
      <w:r>
        <w:t xml:space="preserve"> </w:t>
      </w:r>
      <w:r>
        <w:t xml:space="preserve">noise, not a benefit of additional features.</w:t>
      </w:r>
    </w:p>
    <w:bookmarkStart w:id="104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104"/>
    <w:bookmarkStart w:id="108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108"/>
    <w:bookmarkEnd w:id="109"/>
    <w:bookmarkStart w:id="111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110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110"/>
    <w:bookmarkEnd w:id="111"/>
    <w:bookmarkStart w:id="112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12"/>
    <w:bookmarkEnd w:id="113"/>
    <w:bookmarkStart w:id="1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14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0" Type="http://schemas.openxmlformats.org/officeDocument/2006/relationships/image" Target="media/rId60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101" Type="http://schemas.openxmlformats.org/officeDocument/2006/relationships/image" Target="media/rId101.png"/><Relationship Id="rId105" Type="http://schemas.openxmlformats.org/officeDocument/2006/relationships/image" Target="media/rId105.png"/><Relationship Id="rId88" Type="http://schemas.openxmlformats.org/officeDocument/2006/relationships/image" Target="media/rId88.png"/><Relationship Id="rId94" Type="http://schemas.openxmlformats.org/officeDocument/2006/relationships/image" Target="media/rId94.png"/><Relationship Id="rId91" Type="http://schemas.openxmlformats.org/officeDocument/2006/relationships/image" Target="media/rId91.png"/><Relationship Id="rId64" Type="http://schemas.openxmlformats.org/officeDocument/2006/relationships/image" Target="media/rId64.png"/><Relationship Id="rId78" Type="http://schemas.openxmlformats.org/officeDocument/2006/relationships/image" Target="media/rId78.png"/><Relationship Id="rId75" Type="http://schemas.openxmlformats.org/officeDocument/2006/relationships/image" Target="media/rId75.png"/><Relationship Id="rId82" Type="http://schemas.openxmlformats.org/officeDocument/2006/relationships/image" Target="media/rId82.png"/><Relationship Id="rId37" Type="http://schemas.openxmlformats.org/officeDocument/2006/relationships/image" Target="media/rId37.png"/><Relationship Id="rId48" Type="http://schemas.openxmlformats.org/officeDocument/2006/relationships/image" Target="media/rId48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2026-05-27T19:03:13Z</dcterms:created>
  <dcterms:modified xsi:type="dcterms:W3CDTF">2026-05-27T19:03:13Z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