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7EB764" w14:textId="77777777" w:rsidR="00D16E87" w:rsidRPr="00D16E87" w:rsidRDefault="00D16E87" w:rsidP="00D16E87">
      <w:pPr>
        <w:autoSpaceDE w:val="0"/>
        <w:autoSpaceDN w:val="0"/>
        <w:adjustRightInd w:val="0"/>
        <w:rPr>
          <w:rFonts w:cstheme="minorHAnsi"/>
          <w:b/>
          <w:bCs/>
          <w:color w:val="000000"/>
          <w:kern w:val="0"/>
          <w:sz w:val="50"/>
          <w:szCs w:val="50"/>
        </w:rPr>
      </w:pPr>
      <w:r w:rsidRPr="00D16E87">
        <w:rPr>
          <w:rFonts w:cstheme="minorHAnsi"/>
          <w:b/>
          <w:bCs/>
          <w:color w:val="000000"/>
          <w:kern w:val="0"/>
          <w:sz w:val="50"/>
          <w:szCs w:val="50"/>
        </w:rPr>
        <w:t>Understanding China’s lithography ceiling, and whether it binds</w:t>
      </w:r>
    </w:p>
    <w:p w14:paraId="1F4E4628" w14:textId="77777777" w:rsidR="00D16E87" w:rsidRPr="00D16E87" w:rsidRDefault="00D16E87" w:rsidP="00D16E87">
      <w:pPr>
        <w:autoSpaceDE w:val="0"/>
        <w:autoSpaceDN w:val="0"/>
        <w:adjustRightInd w:val="0"/>
        <w:rPr>
          <w:rFonts w:cstheme="minorHAnsi"/>
          <w:color w:val="000000"/>
          <w:kern w:val="0"/>
          <w:sz w:val="22"/>
          <w:szCs w:val="22"/>
        </w:rPr>
      </w:pPr>
    </w:p>
    <w:p w14:paraId="18E6234E" w14:textId="77777777" w:rsidR="00D16E87" w:rsidRPr="00D16E87" w:rsidRDefault="00D16E87" w:rsidP="00D16E87">
      <w:pPr>
        <w:autoSpaceDE w:val="0"/>
        <w:autoSpaceDN w:val="0"/>
        <w:adjustRightInd w:val="0"/>
        <w:rPr>
          <w:rFonts w:cstheme="minorHAnsi"/>
          <w:color w:val="000000"/>
          <w:kern w:val="0"/>
          <w:sz w:val="22"/>
          <w:szCs w:val="22"/>
        </w:rPr>
      </w:pPr>
      <w:r w:rsidRPr="00D16E87">
        <w:rPr>
          <w:rFonts w:cstheme="minorHAnsi"/>
          <w:color w:val="000000"/>
          <w:kern w:val="0"/>
          <w:sz w:val="22"/>
          <w:szCs w:val="22"/>
        </w:rPr>
        <w:tab/>
      </w:r>
    </w:p>
    <w:p w14:paraId="4FE538B5" w14:textId="77777777" w:rsidR="00D16E87" w:rsidRPr="00D16E87" w:rsidRDefault="00D16E87" w:rsidP="00D16E87">
      <w:pPr>
        <w:autoSpaceDE w:val="0"/>
        <w:autoSpaceDN w:val="0"/>
        <w:adjustRightInd w:val="0"/>
        <w:rPr>
          <w:rFonts w:cstheme="minorHAnsi"/>
          <w:color w:val="000000"/>
          <w:kern w:val="0"/>
          <w:sz w:val="22"/>
          <w:szCs w:val="22"/>
        </w:rPr>
      </w:pPr>
      <w:r w:rsidRPr="00D16E87">
        <w:rPr>
          <w:rFonts w:cstheme="minorHAnsi"/>
          <w:color w:val="000000"/>
          <w:kern w:val="0"/>
          <w:sz w:val="22"/>
          <w:szCs w:val="22"/>
        </w:rPr>
        <w:t>In the Sino-American race to build advanced chips for AI technology, China’s lithography stock is not what limits how many it can make. Even on assumptions chosen to make lithography scarcer than in actuality, the immersion scanners ASML is documented to have sold China between 2022 and 2024 could pattern four to nine times SMIC’s current advanced-node output. What that stock fails to do is print more densely, and density is the input that compounds. The export controls conceded volume and denied the frontier. That trade will shape China’s AI compute through the 2030s.</w:t>
      </w:r>
    </w:p>
    <w:p w14:paraId="2D082879" w14:textId="77777777" w:rsidR="00D16E87" w:rsidRPr="00D16E87" w:rsidRDefault="00D16E87" w:rsidP="00D16E87">
      <w:pPr>
        <w:autoSpaceDE w:val="0"/>
        <w:autoSpaceDN w:val="0"/>
        <w:adjustRightInd w:val="0"/>
        <w:rPr>
          <w:rFonts w:cstheme="minorHAnsi"/>
          <w:color w:val="000000"/>
          <w:kern w:val="0"/>
          <w:sz w:val="40"/>
          <w:szCs w:val="40"/>
        </w:rPr>
      </w:pPr>
    </w:p>
    <w:p w14:paraId="26713490" w14:textId="31BCA4B9" w:rsidR="00D16E87" w:rsidRPr="00D16E87" w:rsidRDefault="00D16E87" w:rsidP="00D16E87">
      <w:pPr>
        <w:autoSpaceDE w:val="0"/>
        <w:autoSpaceDN w:val="0"/>
        <w:adjustRightInd w:val="0"/>
        <w:rPr>
          <w:rFonts w:cstheme="minorHAnsi"/>
          <w:b/>
          <w:bCs/>
          <w:color w:val="000000"/>
          <w:kern w:val="0"/>
          <w:sz w:val="36"/>
          <w:szCs w:val="36"/>
        </w:rPr>
      </w:pPr>
      <w:r w:rsidRPr="00D16E87">
        <w:rPr>
          <w:rFonts w:cstheme="minorHAnsi"/>
          <w:b/>
          <w:bCs/>
          <w:color w:val="000000"/>
          <w:kern w:val="0"/>
          <w:sz w:val="36"/>
          <w:szCs w:val="36"/>
        </w:rPr>
        <w:t>The monopoly, and what it denies</w:t>
      </w:r>
    </w:p>
    <w:p w14:paraId="5FFA4291" w14:textId="77777777" w:rsidR="00D16E87" w:rsidRPr="00D16E87" w:rsidRDefault="00D16E87" w:rsidP="00D16E87">
      <w:pPr>
        <w:autoSpaceDE w:val="0"/>
        <w:autoSpaceDN w:val="0"/>
        <w:adjustRightInd w:val="0"/>
        <w:rPr>
          <w:rFonts w:cstheme="minorHAnsi"/>
          <w:color w:val="000000"/>
          <w:kern w:val="0"/>
        </w:rPr>
      </w:pPr>
    </w:p>
    <w:p w14:paraId="1ED88EBE" w14:textId="77777777" w:rsidR="00D16E87" w:rsidRPr="00D16E87" w:rsidRDefault="00D16E87" w:rsidP="00D16E87">
      <w:pPr>
        <w:autoSpaceDE w:val="0"/>
        <w:autoSpaceDN w:val="0"/>
        <w:adjustRightInd w:val="0"/>
        <w:rPr>
          <w:rFonts w:cstheme="minorHAnsi"/>
          <w:color w:val="000000"/>
          <w:kern w:val="0"/>
          <w:sz w:val="22"/>
          <w:szCs w:val="22"/>
        </w:rPr>
      </w:pPr>
      <w:r w:rsidRPr="00D16E87">
        <w:rPr>
          <w:rFonts w:cstheme="minorHAnsi"/>
          <w:color w:val="000000"/>
          <w:kern w:val="0"/>
          <w:sz w:val="22"/>
          <w:szCs w:val="22"/>
        </w:rPr>
        <w:t xml:space="preserve">Epoch’s recent estimate puts Huawei at under 4% of Nvidia’s AI compute in 2026, with high-bandwidth memory (HBM) as the binding constraint. The same model has the usable-HBM gap shrinking from roughly 73x to 11x by 2028, while the compute each side pairs with a gigabyte of memory </w:t>
      </w:r>
      <w:proofErr w:type="gramStart"/>
      <w:r w:rsidRPr="00D16E87">
        <w:rPr>
          <w:rFonts w:cstheme="minorHAnsi"/>
          <w:color w:val="000000"/>
          <w:kern w:val="0"/>
          <w:sz w:val="22"/>
          <w:szCs w:val="22"/>
        </w:rPr>
        <w:t>diverges</w:t>
      </w:r>
      <w:proofErr w:type="gramEnd"/>
      <w:r w:rsidRPr="00D16E87">
        <w:rPr>
          <w:rFonts w:cstheme="minorHAnsi"/>
          <w:color w:val="000000"/>
          <w:kern w:val="0"/>
          <w:sz w:val="22"/>
          <w:szCs w:val="22"/>
        </w:rPr>
        <w:t xml:space="preserve"> from about 2.7x to 9x over the same period. One constraint is relieving itself; another is widening. This piece asks where the second comes from, how firm it is, and when it becomes the dominant term in the gap. </w:t>
      </w:r>
    </w:p>
    <w:p w14:paraId="74E8CF3C" w14:textId="77777777" w:rsidR="00D16E87" w:rsidRPr="00D16E87" w:rsidRDefault="00D16E87" w:rsidP="00D16E87">
      <w:pPr>
        <w:autoSpaceDE w:val="0"/>
        <w:autoSpaceDN w:val="0"/>
        <w:adjustRightInd w:val="0"/>
        <w:rPr>
          <w:rFonts w:cstheme="minorHAnsi"/>
          <w:color w:val="000000"/>
          <w:kern w:val="0"/>
          <w:sz w:val="22"/>
          <w:szCs w:val="22"/>
          <w:u w:val="single" w:color="000000"/>
        </w:rPr>
      </w:pPr>
    </w:p>
    <w:p w14:paraId="22632430" w14:textId="77777777" w:rsidR="00D16E87" w:rsidRPr="00D16E87" w:rsidRDefault="00D16E87" w:rsidP="00D16E87">
      <w:pPr>
        <w:autoSpaceDE w:val="0"/>
        <w:autoSpaceDN w:val="0"/>
        <w:adjustRightInd w:val="0"/>
        <w:rPr>
          <w:rFonts w:cstheme="minorHAnsi"/>
          <w:color w:val="000000"/>
          <w:kern w:val="0"/>
          <w:sz w:val="22"/>
          <w:szCs w:val="22"/>
          <w:u w:color="000000"/>
        </w:rPr>
      </w:pPr>
      <w:r w:rsidRPr="00D16E87">
        <w:rPr>
          <w:rFonts w:cstheme="minorHAnsi"/>
          <w:color w:val="000000"/>
          <w:kern w:val="0"/>
          <w:sz w:val="22"/>
          <w:szCs w:val="22"/>
          <w:u w:color="000000"/>
        </w:rPr>
        <w:t>This paper examines lithography’s role in determining the second term. This is the process where a scanner projects a circuit pattern onto a silicon wafer through a lens, one exposure at a time; the wavelength of the light and the numerical aperture of the optics set the smallest feature it can print. Deep ultraviolet (DUV) at 193 nm has been the industry’s workhorse, sharpened by immersing the lens in water. The frontier is extreme ultraviolet (EUV) at 13.5 nm, which prints in one exposure what DUV takes three or four passes to approximate.</w:t>
      </w:r>
    </w:p>
    <w:p w14:paraId="507014C9" w14:textId="77777777" w:rsidR="00D16E87" w:rsidRPr="00D16E87" w:rsidRDefault="00D16E87" w:rsidP="00D16E87">
      <w:pPr>
        <w:autoSpaceDE w:val="0"/>
        <w:autoSpaceDN w:val="0"/>
        <w:adjustRightInd w:val="0"/>
        <w:rPr>
          <w:rFonts w:cstheme="minorHAnsi"/>
          <w:color w:val="000000"/>
          <w:kern w:val="0"/>
          <w:sz w:val="22"/>
          <w:szCs w:val="22"/>
          <w:u w:val="single" w:color="000000"/>
        </w:rPr>
      </w:pPr>
    </w:p>
    <w:p w14:paraId="76DA4A91" w14:textId="77777777" w:rsidR="00D16E87" w:rsidRPr="00D16E87" w:rsidRDefault="00D16E87" w:rsidP="00D16E87">
      <w:pPr>
        <w:autoSpaceDE w:val="0"/>
        <w:autoSpaceDN w:val="0"/>
        <w:adjustRightInd w:val="0"/>
        <w:rPr>
          <w:rFonts w:cstheme="minorHAnsi"/>
          <w:color w:val="000000"/>
          <w:kern w:val="0"/>
          <w:sz w:val="22"/>
          <w:szCs w:val="22"/>
          <w:u w:color="000000"/>
        </w:rPr>
      </w:pPr>
      <w:r w:rsidRPr="00D16E87">
        <w:rPr>
          <w:rFonts w:cstheme="minorHAnsi"/>
          <w:color w:val="000000"/>
          <w:kern w:val="0"/>
          <w:sz w:val="22"/>
          <w:szCs w:val="22"/>
          <w:u w:color="000000"/>
        </w:rPr>
        <w:t xml:space="preserve">Dutch company ASML is the only company that has ever shipped a working EUV scanner. Development took well over a decade, and the machine is itself an assembly of monopolies: the optical column comes from Carl Zeiss SMT, the drive laser only from TRUMPF, the light source from Cymer, which ASML bought in 2013. No other EUV supplier exists. </w:t>
      </w:r>
    </w:p>
    <w:p w14:paraId="2F6B9DEE" w14:textId="77777777" w:rsidR="00D16E87" w:rsidRPr="00D16E87" w:rsidRDefault="00D16E87" w:rsidP="00D16E87">
      <w:pPr>
        <w:autoSpaceDE w:val="0"/>
        <w:autoSpaceDN w:val="0"/>
        <w:adjustRightInd w:val="0"/>
        <w:rPr>
          <w:rFonts w:cstheme="minorHAnsi"/>
          <w:i/>
          <w:iCs/>
          <w:color w:val="000000"/>
          <w:kern w:val="0"/>
          <w:sz w:val="22"/>
          <w:szCs w:val="22"/>
          <w:u w:color="000000"/>
        </w:rPr>
      </w:pPr>
    </w:p>
    <w:p w14:paraId="4E9673AD" w14:textId="77777777" w:rsidR="00D16E87" w:rsidRPr="00D16E87" w:rsidRDefault="00D16E87" w:rsidP="00D16E87">
      <w:pPr>
        <w:autoSpaceDE w:val="0"/>
        <w:autoSpaceDN w:val="0"/>
        <w:adjustRightInd w:val="0"/>
        <w:spacing w:after="280"/>
        <w:rPr>
          <w:rFonts w:cstheme="minorHAnsi"/>
          <w:b/>
          <w:bCs/>
          <w:color w:val="000000"/>
          <w:kern w:val="0"/>
          <w:sz w:val="28"/>
          <w:szCs w:val="28"/>
          <w:u w:color="000000"/>
        </w:rPr>
      </w:pPr>
      <w:r w:rsidRPr="00D16E87">
        <w:rPr>
          <w:rFonts w:cstheme="minorHAnsi"/>
          <w:b/>
          <w:bCs/>
          <w:color w:val="000000"/>
          <w:kern w:val="0"/>
          <w:sz w:val="28"/>
          <w:szCs w:val="28"/>
          <w:u w:color="000000"/>
        </w:rPr>
        <w:t>Substitution fails at the frontier and is weak below it</w:t>
      </w:r>
    </w:p>
    <w:p w14:paraId="7CE080DF"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China's EUV programmes are early. Reported light-source outputs sit around 100 to 150 W, against ASML's 250 W production threshold in 2017 and roughly 600 W today. At least three Chinese teams are pursuing three different source technologies, which is what you do when none has clearly worked. Beijing targets chip output from a prototype by 2028, and Reuters' sources call 2030 realistic, but the better anchor is the AI Futures project’s base rates, as it’s built from ASML's own development history, which place commercial-scale Chinese 7 nm-capable immersion DUV in the mid-2030s and 5 nm-capable EUV toward 2040. By then, ASML will have moved to High-NA.</w:t>
      </w:r>
    </w:p>
    <w:p w14:paraId="4BBCE0B9"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The trailing tool is Deep Ultraviolet (DUV) scanners, which China can build, slowly and uncompetitively. Shanghai Micro Electronics has sold </w:t>
      </w:r>
      <w:proofErr w:type="spellStart"/>
      <w:r w:rsidRPr="00D16E87">
        <w:rPr>
          <w:rFonts w:cstheme="minorHAnsi"/>
          <w:color w:val="000000"/>
          <w:kern w:val="0"/>
          <w:u w:color="000000"/>
        </w:rPr>
        <w:t>i</w:t>
      </w:r>
      <w:proofErr w:type="spellEnd"/>
      <w:r w:rsidRPr="00D16E87">
        <w:rPr>
          <w:rFonts w:cstheme="minorHAnsi"/>
          <w:color w:val="000000"/>
          <w:kern w:val="0"/>
          <w:u w:color="000000"/>
        </w:rPr>
        <w:t xml:space="preserve">-line tools for years and prototyped a 90 nm dry </w:t>
      </w:r>
      <w:proofErr w:type="spellStart"/>
      <w:r w:rsidRPr="00D16E87">
        <w:rPr>
          <w:rFonts w:cstheme="minorHAnsi"/>
          <w:color w:val="000000"/>
          <w:kern w:val="0"/>
          <w:u w:color="000000"/>
        </w:rPr>
        <w:t>ArF</w:t>
      </w:r>
      <w:proofErr w:type="spellEnd"/>
      <w:r w:rsidRPr="00D16E87">
        <w:rPr>
          <w:rFonts w:cstheme="minorHAnsi"/>
          <w:color w:val="000000"/>
          <w:kern w:val="0"/>
          <w:u w:color="000000"/>
        </w:rPr>
        <w:t xml:space="preserve"> scanner in 2011 that never found buyers; its 28 nm immersion tool, the </w:t>
      </w:r>
      <w:r w:rsidRPr="00D16E87">
        <w:rPr>
          <w:rFonts w:cstheme="minorHAnsi"/>
          <w:color w:val="000000"/>
          <w:kern w:val="0"/>
          <w:u w:color="000000"/>
        </w:rPr>
        <w:lastRenderedPageBreak/>
        <w:t xml:space="preserve">SSA800, has never reached confirmed volume production. The faster effort is Huawei-linked Yuliangsheng, now consolidated with SMEE's immersion team under Shanghai </w:t>
      </w:r>
      <w:proofErr w:type="spellStart"/>
      <w:r w:rsidRPr="00D16E87">
        <w:rPr>
          <w:rFonts w:cstheme="minorHAnsi"/>
          <w:color w:val="000000"/>
          <w:kern w:val="0"/>
          <w:u w:color="000000"/>
        </w:rPr>
        <w:t>Aishengna</w:t>
      </w:r>
      <w:proofErr w:type="spellEnd"/>
      <w:r w:rsidRPr="00D16E87">
        <w:rPr>
          <w:rFonts w:cstheme="minorHAnsi"/>
          <w:color w:val="000000"/>
          <w:kern w:val="0"/>
          <w:u w:color="000000"/>
        </w:rPr>
        <w:t>, which began producing immersion scanners in July 2026, with first units delivered to Chinese customers. Output is expected to be near five tools in 2026 and twenty in 2027, against ASML's roughly 130 immersion systems a year. Critical components still come from Japan, and the machine is assessed at roughly the level of ASML's NXT:1950i, launched in 2009.</w:t>
      </w:r>
    </w:p>
    <w:p w14:paraId="280600D6"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That tool prints 28 nm layers. Whether it supports 7 nm-class multi-patterning is unverified, and the overlay precision required makes me doubt it: had it been capable, China would have had less reason to keep importing 1980-class scanners from ASML through 2024. Substitution is succeeding at the level of the stack that does not decide per-chip performance.</w:t>
      </w:r>
    </w:p>
    <w:p w14:paraId="095ACD3D" w14:textId="77777777" w:rsidR="00D16E87" w:rsidRPr="00D16E87" w:rsidRDefault="00D16E87" w:rsidP="00D16E87">
      <w:pPr>
        <w:autoSpaceDE w:val="0"/>
        <w:autoSpaceDN w:val="0"/>
        <w:adjustRightInd w:val="0"/>
        <w:spacing w:after="280"/>
        <w:rPr>
          <w:rFonts w:cstheme="minorHAnsi"/>
          <w:b/>
          <w:bCs/>
          <w:color w:val="000000"/>
          <w:kern w:val="0"/>
          <w:sz w:val="28"/>
          <w:szCs w:val="28"/>
          <w:u w:color="000000"/>
        </w:rPr>
      </w:pPr>
      <w:r w:rsidRPr="00D16E87">
        <w:rPr>
          <w:rFonts w:cstheme="minorHAnsi"/>
          <w:b/>
          <w:bCs/>
          <w:color w:val="000000"/>
          <w:kern w:val="0"/>
          <w:sz w:val="28"/>
          <w:szCs w:val="28"/>
          <w:u w:color="000000"/>
        </w:rPr>
        <w:t>Where the controls cut</w:t>
      </w:r>
    </w:p>
    <w:p w14:paraId="7B80592D"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China's immersion base is imported, and ASML holds 98.7% of the global immersion market, so what China holds is almost certainly ASML's product line minus what the controls removed. The controls did not ban lithography; they cut the line at two points.</w:t>
      </w:r>
    </w:p>
    <w:p w14:paraId="05EA0026"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China has never received an EUV tool: the Dutch government blocked SMIC's 2018 order and has licensed none since. Below EUV, a Dutch licence requirement from September 2023 closed off the most advanced immersion scanners, the NXT:2000i and later, and in January 2024 </w:t>
      </w:r>
      <w:proofErr w:type="gramStart"/>
      <w:r w:rsidRPr="00D16E87">
        <w:rPr>
          <w:rFonts w:cstheme="minorHAnsi"/>
          <w:color w:val="000000"/>
          <w:kern w:val="0"/>
          <w:u w:color="000000"/>
        </w:rPr>
        <w:t>The</w:t>
      </w:r>
      <w:proofErr w:type="gramEnd"/>
      <w:r w:rsidRPr="00D16E87">
        <w:rPr>
          <w:rFonts w:cstheme="minorHAnsi"/>
          <w:color w:val="000000"/>
          <w:kern w:val="0"/>
          <w:u w:color="000000"/>
        </w:rPr>
        <w:t xml:space="preserve"> Hague revoked licences already granted for 2050i and 2100i shipments to Chinese customers. China's stock of frontier immersion tools is therefore frozen, and of undisclosed size.</w:t>
      </w:r>
    </w:p>
    <w:p w14:paraId="7D145B63"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The next rung down, the NXT:1970i and 1980i, was placed under case-by-case licensing rather than denial, and remains sellable to Chinese fabs not themselves restricted. It is the class that reaches 7 nm through multi-patterning, and it is what China bought in volume: in 2024 ASML shipped about 70% of its immersion systems to Chinese buyers.</w:t>
      </w:r>
    </w:p>
    <w:p w14:paraId="1102DDE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The gap between China and the Western frontier is diverging as China utilises lithography two technologies behind: immersion DUV against EUV and now High-NA EUV. Within immersion, its frontier tool sits several generations below ASML's current NXT:2100i. Meanwhile, nothing China holds expires: ASML extends tool life beyond twenty years, and domestic production of five to twenty tools a year against an installed base in the hundreds is a replacement rate around 1 to 4% annually, replacing the tier China already has rather than the tier it lacks.</w:t>
      </w:r>
    </w:p>
    <w:p w14:paraId="3607A0D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Following that reading, the monopoly, outside of international exportation, is on density rather than volume. The next section tests that.</w:t>
      </w:r>
    </w:p>
    <w:p w14:paraId="5DB21B3D" w14:textId="77777777" w:rsidR="00D16E87" w:rsidRPr="00D16E87" w:rsidRDefault="00D16E87" w:rsidP="00D16E87">
      <w:pPr>
        <w:autoSpaceDE w:val="0"/>
        <w:autoSpaceDN w:val="0"/>
        <w:adjustRightInd w:val="0"/>
        <w:spacing w:after="298"/>
        <w:rPr>
          <w:rFonts w:cstheme="minorHAnsi"/>
          <w:b/>
          <w:bCs/>
          <w:color w:val="000000"/>
          <w:kern w:val="0"/>
          <w:sz w:val="36"/>
          <w:szCs w:val="36"/>
          <w:u w:color="000000"/>
        </w:rPr>
      </w:pPr>
      <w:r w:rsidRPr="00D16E87">
        <w:rPr>
          <w:rFonts w:cstheme="minorHAnsi"/>
          <w:b/>
          <w:bCs/>
          <w:color w:val="000000"/>
          <w:kern w:val="0"/>
          <w:sz w:val="36"/>
          <w:szCs w:val="36"/>
          <w:u w:color="000000"/>
        </w:rPr>
        <w:t>The ledger: what China actually holds</w:t>
      </w:r>
    </w:p>
    <w:p w14:paraId="14CBE9C6"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ASML does not publish how many scanners it sells to China, and since September 2023 the Dutch government has kept most of those sales out of its public export reports. However, two documents, read together, pin down the core of the stock. ASML's annual filings report </w:t>
      </w:r>
      <w:r w:rsidRPr="00D16E87">
        <w:rPr>
          <w:rFonts w:cstheme="minorHAnsi"/>
          <w:color w:val="000000"/>
          <w:kern w:val="0"/>
          <w:u w:color="000000"/>
        </w:rPr>
        <w:lastRenderedPageBreak/>
        <w:t>how many immersion systems it sold each year. Whilst in October 2025 the House Select Committee on the CCP published, from data ASML supplied under investigation, the share of those units that went to Chinese customers.</w:t>
      </w:r>
    </w:p>
    <w:p w14:paraId="2B779957" w14:textId="0771E21A"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ASML sold 81 immersion systems in 2022, 125 in 2023 and 129 in 2024. China took 26%, 45% and 70% of them respectively. Multiplying through gives roughly 21, 56 and 90 tools: about 168 immersion scanners delivered to Chinese customers in three years.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40"/>
        <w:gridCol w:w="2400"/>
        <w:gridCol w:w="1240"/>
        <w:gridCol w:w="2200"/>
      </w:tblGrid>
      <w:tr w:rsidR="00D16E87" w:rsidRPr="00D16E87" w14:paraId="7387274B" w14:textId="77777777">
        <w:tblPrEx>
          <w:tblCellMar>
            <w:top w:w="0" w:type="dxa"/>
            <w:bottom w:w="0" w:type="dxa"/>
          </w:tblCellMar>
        </w:tblPrEx>
        <w:tc>
          <w:tcPr>
            <w:tcW w:w="8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64263D7" w14:textId="77777777" w:rsidR="00D16E87" w:rsidRPr="00D16E87" w:rsidRDefault="00D16E87">
            <w:pPr>
              <w:autoSpaceDE w:val="0"/>
              <w:autoSpaceDN w:val="0"/>
              <w:adjustRightInd w:val="0"/>
              <w:spacing w:after="240"/>
              <w:jc w:val="center"/>
              <w:rPr>
                <w:rFonts w:cstheme="minorHAnsi"/>
                <w:kern w:val="0"/>
                <w:u w:color="000000"/>
              </w:rPr>
            </w:pPr>
            <w:r w:rsidRPr="00D16E87">
              <w:rPr>
                <w:rFonts w:cstheme="minorHAnsi"/>
                <w:b/>
                <w:bCs/>
                <w:color w:val="000000"/>
                <w:kern w:val="0"/>
                <w:u w:color="000000"/>
              </w:rPr>
              <w:t>Year</w:t>
            </w:r>
          </w:p>
        </w:tc>
        <w:tc>
          <w:tcPr>
            <w:tcW w:w="24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BFD02A6" w14:textId="77777777" w:rsidR="00D16E87" w:rsidRPr="00D16E87" w:rsidRDefault="00D16E87">
            <w:pPr>
              <w:autoSpaceDE w:val="0"/>
              <w:autoSpaceDN w:val="0"/>
              <w:adjustRightInd w:val="0"/>
              <w:spacing w:after="240"/>
              <w:jc w:val="center"/>
              <w:rPr>
                <w:rFonts w:cstheme="minorHAnsi"/>
                <w:kern w:val="0"/>
                <w:u w:color="000000"/>
              </w:rPr>
            </w:pPr>
            <w:r w:rsidRPr="00D16E87">
              <w:rPr>
                <w:rFonts w:cstheme="minorHAnsi"/>
                <w:b/>
                <w:bCs/>
                <w:color w:val="000000"/>
                <w:kern w:val="0"/>
                <w:u w:color="000000"/>
              </w:rPr>
              <w:t>ASML immersion units</w:t>
            </w:r>
          </w:p>
        </w:tc>
        <w:tc>
          <w:tcPr>
            <w:tcW w:w="12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45B8874" w14:textId="77777777" w:rsidR="00D16E87" w:rsidRPr="00D16E87" w:rsidRDefault="00D16E87">
            <w:pPr>
              <w:autoSpaceDE w:val="0"/>
              <w:autoSpaceDN w:val="0"/>
              <w:adjustRightInd w:val="0"/>
              <w:spacing w:after="240"/>
              <w:jc w:val="center"/>
              <w:rPr>
                <w:rFonts w:cstheme="minorHAnsi"/>
                <w:kern w:val="0"/>
                <w:u w:color="000000"/>
              </w:rPr>
            </w:pPr>
            <w:r w:rsidRPr="00D16E87">
              <w:rPr>
                <w:rFonts w:cstheme="minorHAnsi"/>
                <w:b/>
                <w:bCs/>
                <w:color w:val="000000"/>
                <w:kern w:val="0"/>
                <w:u w:color="000000"/>
              </w:rPr>
              <w:t>China share</w:t>
            </w:r>
          </w:p>
        </w:tc>
        <w:tc>
          <w:tcPr>
            <w:tcW w:w="22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68E7E12" w14:textId="77777777" w:rsidR="00D16E87" w:rsidRPr="00D16E87" w:rsidRDefault="00D16E87">
            <w:pPr>
              <w:autoSpaceDE w:val="0"/>
              <w:autoSpaceDN w:val="0"/>
              <w:adjustRightInd w:val="0"/>
              <w:spacing w:after="240"/>
              <w:jc w:val="center"/>
              <w:rPr>
                <w:rFonts w:cstheme="minorHAnsi"/>
                <w:kern w:val="0"/>
                <w:u w:color="000000"/>
              </w:rPr>
            </w:pPr>
            <w:r w:rsidRPr="00D16E87">
              <w:rPr>
                <w:rFonts w:cstheme="minorHAnsi"/>
                <w:b/>
                <w:bCs/>
                <w:color w:val="000000"/>
                <w:kern w:val="0"/>
                <w:u w:color="000000"/>
              </w:rPr>
              <w:t>China units (derived)</w:t>
            </w:r>
          </w:p>
        </w:tc>
      </w:tr>
      <w:tr w:rsidR="00D16E87" w:rsidRPr="00D16E87" w14:paraId="36AC7DCE" w14:textId="77777777">
        <w:tblPrEx>
          <w:tblBorders>
            <w:top w:val="none" w:sz="0" w:space="0" w:color="auto"/>
          </w:tblBorders>
          <w:tblCellMar>
            <w:top w:w="0" w:type="dxa"/>
            <w:bottom w:w="0" w:type="dxa"/>
          </w:tblCellMar>
        </w:tblPrEx>
        <w:tc>
          <w:tcPr>
            <w:tcW w:w="840" w:type="dxa"/>
            <w:tcBorders>
              <w:top w:val="single" w:sz="8" w:space="0" w:color="000000"/>
              <w:left w:val="single" w:sz="8" w:space="0" w:color="000000"/>
              <w:bottom w:val="single" w:sz="8" w:space="0" w:color="000000"/>
              <w:right w:val="single" w:sz="8" w:space="0" w:color="000000"/>
            </w:tcBorders>
            <w:shd w:val="clear" w:color="auto" w:fill="F2F2F2"/>
            <w:tcMar>
              <w:top w:w="20" w:type="nil"/>
              <w:left w:w="20" w:type="nil"/>
              <w:bottom w:w="20" w:type="nil"/>
              <w:right w:w="20" w:type="nil"/>
            </w:tcMar>
            <w:vAlign w:val="center"/>
          </w:tcPr>
          <w:p w14:paraId="22FB4F46"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2022</w:t>
            </w:r>
          </w:p>
        </w:tc>
        <w:tc>
          <w:tcPr>
            <w:tcW w:w="2400" w:type="dxa"/>
            <w:tcBorders>
              <w:top w:val="single" w:sz="8" w:space="0" w:color="000000"/>
              <w:left w:val="single" w:sz="8" w:space="0" w:color="000000"/>
              <w:bottom w:val="single" w:sz="8" w:space="0" w:color="000000"/>
              <w:right w:val="single" w:sz="8" w:space="0" w:color="000000"/>
            </w:tcBorders>
            <w:shd w:val="clear" w:color="auto" w:fill="F2F2F2"/>
            <w:tcMar>
              <w:top w:w="20" w:type="nil"/>
              <w:left w:w="20" w:type="nil"/>
              <w:bottom w:w="20" w:type="nil"/>
              <w:right w:w="20" w:type="nil"/>
            </w:tcMar>
            <w:vAlign w:val="center"/>
          </w:tcPr>
          <w:p w14:paraId="1E1D00FB"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81</w:t>
            </w:r>
          </w:p>
        </w:tc>
        <w:tc>
          <w:tcPr>
            <w:tcW w:w="1240" w:type="dxa"/>
            <w:tcBorders>
              <w:top w:val="single" w:sz="8" w:space="0" w:color="000000"/>
              <w:left w:val="single" w:sz="8" w:space="0" w:color="000000"/>
              <w:bottom w:val="single" w:sz="8" w:space="0" w:color="000000"/>
              <w:right w:val="single" w:sz="8" w:space="0" w:color="000000"/>
            </w:tcBorders>
            <w:shd w:val="clear" w:color="auto" w:fill="F2F2F2"/>
            <w:tcMar>
              <w:top w:w="20" w:type="nil"/>
              <w:left w:w="20" w:type="nil"/>
              <w:bottom w:w="20" w:type="nil"/>
              <w:right w:w="20" w:type="nil"/>
            </w:tcMar>
            <w:vAlign w:val="center"/>
          </w:tcPr>
          <w:p w14:paraId="59BB5AC6"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26%</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20" w:type="nil"/>
              <w:left w:w="20" w:type="nil"/>
              <w:bottom w:w="20" w:type="nil"/>
              <w:right w:w="20" w:type="nil"/>
            </w:tcMar>
            <w:vAlign w:val="center"/>
          </w:tcPr>
          <w:p w14:paraId="0396439D"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21</w:t>
            </w:r>
          </w:p>
        </w:tc>
      </w:tr>
      <w:tr w:rsidR="00D16E87" w:rsidRPr="00D16E87" w14:paraId="7EF63145" w14:textId="77777777">
        <w:tblPrEx>
          <w:tblBorders>
            <w:top w:val="none" w:sz="0" w:space="0" w:color="auto"/>
          </w:tblBorders>
          <w:tblCellMar>
            <w:top w:w="0" w:type="dxa"/>
            <w:bottom w:w="0" w:type="dxa"/>
          </w:tblCellMar>
        </w:tblPrEx>
        <w:tc>
          <w:tcPr>
            <w:tcW w:w="8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2632247"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2023</w:t>
            </w:r>
          </w:p>
        </w:tc>
        <w:tc>
          <w:tcPr>
            <w:tcW w:w="24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026BA7D"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125</w:t>
            </w:r>
          </w:p>
        </w:tc>
        <w:tc>
          <w:tcPr>
            <w:tcW w:w="12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8CD05D4"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45%</w:t>
            </w:r>
          </w:p>
        </w:tc>
        <w:tc>
          <w:tcPr>
            <w:tcW w:w="22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C658D9B"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56</w:t>
            </w:r>
          </w:p>
        </w:tc>
      </w:tr>
      <w:tr w:rsidR="00D16E87" w:rsidRPr="00D16E87" w14:paraId="29440FFD" w14:textId="77777777">
        <w:tblPrEx>
          <w:tblBorders>
            <w:top w:val="none" w:sz="0" w:space="0" w:color="auto"/>
          </w:tblBorders>
          <w:tblCellMar>
            <w:top w:w="0" w:type="dxa"/>
            <w:bottom w:w="0" w:type="dxa"/>
          </w:tblCellMar>
        </w:tblPrEx>
        <w:tc>
          <w:tcPr>
            <w:tcW w:w="840" w:type="dxa"/>
            <w:tcBorders>
              <w:top w:val="single" w:sz="8" w:space="0" w:color="000000"/>
              <w:left w:val="single" w:sz="8" w:space="0" w:color="000000"/>
              <w:bottom w:val="single" w:sz="8" w:space="0" w:color="000000"/>
              <w:right w:val="single" w:sz="8" w:space="0" w:color="000000"/>
            </w:tcBorders>
            <w:shd w:val="clear" w:color="auto" w:fill="F2F2F2"/>
            <w:tcMar>
              <w:top w:w="20" w:type="nil"/>
              <w:left w:w="20" w:type="nil"/>
              <w:bottom w:w="20" w:type="nil"/>
              <w:right w:w="20" w:type="nil"/>
            </w:tcMar>
            <w:vAlign w:val="center"/>
          </w:tcPr>
          <w:p w14:paraId="45CD2C96"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2024</w:t>
            </w:r>
          </w:p>
        </w:tc>
        <w:tc>
          <w:tcPr>
            <w:tcW w:w="2400" w:type="dxa"/>
            <w:tcBorders>
              <w:top w:val="single" w:sz="8" w:space="0" w:color="000000"/>
              <w:left w:val="single" w:sz="8" w:space="0" w:color="000000"/>
              <w:bottom w:val="single" w:sz="8" w:space="0" w:color="000000"/>
              <w:right w:val="single" w:sz="8" w:space="0" w:color="000000"/>
            </w:tcBorders>
            <w:shd w:val="clear" w:color="auto" w:fill="F2F2F2"/>
            <w:tcMar>
              <w:top w:w="20" w:type="nil"/>
              <w:left w:w="20" w:type="nil"/>
              <w:bottom w:w="20" w:type="nil"/>
              <w:right w:w="20" w:type="nil"/>
            </w:tcMar>
            <w:vAlign w:val="center"/>
          </w:tcPr>
          <w:p w14:paraId="6B344E61"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129</w:t>
            </w:r>
          </w:p>
        </w:tc>
        <w:tc>
          <w:tcPr>
            <w:tcW w:w="1240" w:type="dxa"/>
            <w:tcBorders>
              <w:top w:val="single" w:sz="8" w:space="0" w:color="000000"/>
              <w:left w:val="single" w:sz="8" w:space="0" w:color="000000"/>
              <w:bottom w:val="single" w:sz="8" w:space="0" w:color="000000"/>
              <w:right w:val="single" w:sz="8" w:space="0" w:color="000000"/>
            </w:tcBorders>
            <w:shd w:val="clear" w:color="auto" w:fill="F2F2F2"/>
            <w:tcMar>
              <w:top w:w="20" w:type="nil"/>
              <w:left w:w="20" w:type="nil"/>
              <w:bottom w:w="20" w:type="nil"/>
              <w:right w:w="20" w:type="nil"/>
            </w:tcMar>
            <w:vAlign w:val="center"/>
          </w:tcPr>
          <w:p w14:paraId="50AFE1EA"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70%</w:t>
            </w:r>
          </w:p>
        </w:tc>
        <w:tc>
          <w:tcPr>
            <w:tcW w:w="2200" w:type="dxa"/>
            <w:tcBorders>
              <w:top w:val="single" w:sz="8" w:space="0" w:color="000000"/>
              <w:left w:val="single" w:sz="8" w:space="0" w:color="000000"/>
              <w:bottom w:val="single" w:sz="8" w:space="0" w:color="000000"/>
              <w:right w:val="single" w:sz="8" w:space="0" w:color="000000"/>
            </w:tcBorders>
            <w:shd w:val="clear" w:color="auto" w:fill="F2F2F2"/>
            <w:tcMar>
              <w:top w:w="20" w:type="nil"/>
              <w:left w:w="20" w:type="nil"/>
              <w:bottom w:w="20" w:type="nil"/>
              <w:right w:w="20" w:type="nil"/>
            </w:tcMar>
            <w:vAlign w:val="center"/>
          </w:tcPr>
          <w:p w14:paraId="067A9F75"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90</w:t>
            </w:r>
          </w:p>
        </w:tc>
      </w:tr>
      <w:tr w:rsidR="00D16E87" w:rsidRPr="00D16E87" w14:paraId="3CD6AB23" w14:textId="77777777">
        <w:tblPrEx>
          <w:tblCellMar>
            <w:top w:w="0" w:type="dxa"/>
            <w:bottom w:w="0" w:type="dxa"/>
          </w:tblCellMar>
        </w:tblPrEx>
        <w:tc>
          <w:tcPr>
            <w:tcW w:w="8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3263780"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 xml:space="preserve"> Total:</w:t>
            </w:r>
          </w:p>
        </w:tc>
        <w:tc>
          <w:tcPr>
            <w:tcW w:w="24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C2BF421" w14:textId="77777777" w:rsidR="00D16E87" w:rsidRPr="00D16E87" w:rsidRDefault="00D16E87">
            <w:pPr>
              <w:autoSpaceDE w:val="0"/>
              <w:autoSpaceDN w:val="0"/>
              <w:adjustRightInd w:val="0"/>
              <w:spacing w:after="240"/>
              <w:rPr>
                <w:rFonts w:cstheme="minorHAnsi"/>
                <w:kern w:val="0"/>
                <w:u w:color="000000"/>
              </w:rPr>
            </w:pPr>
            <w:r w:rsidRPr="00D16E87">
              <w:rPr>
                <w:rFonts w:cstheme="minorHAnsi"/>
                <w:color w:val="000000"/>
                <w:kern w:val="0"/>
                <w:u w:color="000000"/>
              </w:rPr>
              <w:t>335</w:t>
            </w:r>
          </w:p>
        </w:tc>
        <w:tc>
          <w:tcPr>
            <w:tcW w:w="12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D416C88" w14:textId="77777777" w:rsidR="00D16E87" w:rsidRPr="00D16E87" w:rsidRDefault="00D16E8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kern w:val="0"/>
                <w:u w:color="000000"/>
              </w:rPr>
            </w:pPr>
          </w:p>
        </w:tc>
        <w:tc>
          <w:tcPr>
            <w:tcW w:w="22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1ED6F60" w14:textId="77777777" w:rsidR="00D16E87" w:rsidRPr="00D16E87" w:rsidRDefault="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168</w:t>
            </w:r>
          </w:p>
        </w:tc>
      </w:tr>
    </w:tbl>
    <w:p w14:paraId="127041E6"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These are ASML tools only. Nikon, the only other immersion supplier, holds about 1.3% of the global market, and China's first domestic immersion scanners shipped in 2026, so anything the ledger misses adds to the stock rather than subtracting from it.</w:t>
      </w:r>
    </w:p>
    <w:p w14:paraId="779CC268"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Two features stand out. China absorbed almost all of ASML's growth: immersion output rose by 48 units between 2022 and 2024 while China's purchases rose by 69. Yet, China's unit share runs well ahead of its revenue share; in 2024 it took 59% of ASML's lithography units but accounted for 36% of revenue, because it was buying cheaper, older equipment. For EUV, the one product it cannot buy at all, it received none.</w:t>
      </w:r>
    </w:p>
    <w:p w14:paraId="53DB1647" w14:textId="77777777" w:rsidR="00D16E87" w:rsidRPr="00D16E87" w:rsidRDefault="00D16E87" w:rsidP="00D16E87">
      <w:pPr>
        <w:autoSpaceDE w:val="0"/>
        <w:autoSpaceDN w:val="0"/>
        <w:adjustRightInd w:val="0"/>
        <w:spacing w:after="280"/>
        <w:rPr>
          <w:rFonts w:cstheme="minorHAnsi"/>
          <w:b/>
          <w:bCs/>
          <w:color w:val="000000"/>
          <w:kern w:val="0"/>
          <w:sz w:val="28"/>
          <w:szCs w:val="28"/>
          <w:u w:color="000000"/>
        </w:rPr>
      </w:pPr>
      <w:r w:rsidRPr="00D16E87">
        <w:rPr>
          <w:rFonts w:cstheme="minorHAnsi"/>
          <w:b/>
          <w:bCs/>
          <w:color w:val="000000"/>
          <w:kern w:val="0"/>
          <w:sz w:val="28"/>
          <w:szCs w:val="28"/>
          <w:u w:color="000000"/>
        </w:rPr>
        <w:t>China bought quantity, not quality</w:t>
      </w:r>
    </w:p>
    <w:p w14:paraId="16F27D6F"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The 2023 figure includes China's last purchases of ASML's advanced immersion class. ASML told reporters in November 2023 that it held licences to ship NXT:2000i-series tools to China until the end of that year and expected none afterwards. The Committee unveiled the rest of the story: between 2023 and 2024, Chinese orders for the NXT:2100i and 2050i fell to zero while orders for the NXT:1980i nearly tripled. The 90 tools of 2024 are therefore, almost entirely, the older 1980 class.</w:t>
      </w:r>
    </w:p>
    <w:p w14:paraId="6FC2C46B"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To clarify, “NXT:1980i” is a family, not a machine: ASML sells it as the 1980Di, 1980Ei and 1980Fi, at 275, 295 and 330 wafers per hour. Export controls do not distinguish between them, and ASML does not disclose which variants went to China.</w:t>
      </w:r>
    </w:p>
    <w:p w14:paraId="1DF62673"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Taking the slowest, the NXT:1980Di still runs at 275 wafers per hour with a 1.35 NA lens resolving 38 nm in a single exposure. With multi-patterning, the class reaches 7 nm-class nodes, which is why the Committee notes these tools are controlled to advanced logic fabs. It cannot cost-effectively go further: asked about 3 to 5 nm, ASML told the Committee this would require advanced deposition and etch tools as well, and would still produce a "yield that would likely be economically unjustifiable."</w:t>
      </w:r>
    </w:p>
    <w:p w14:paraId="072DBAB6" w14:textId="77777777" w:rsidR="00D16E87" w:rsidRPr="00D16E87" w:rsidRDefault="00D16E87" w:rsidP="00D16E87">
      <w:pPr>
        <w:autoSpaceDE w:val="0"/>
        <w:autoSpaceDN w:val="0"/>
        <w:adjustRightInd w:val="0"/>
        <w:spacing w:after="280"/>
        <w:rPr>
          <w:rFonts w:cstheme="minorHAnsi"/>
          <w:b/>
          <w:bCs/>
          <w:color w:val="000000"/>
          <w:kern w:val="0"/>
          <w:sz w:val="28"/>
          <w:szCs w:val="28"/>
          <w:u w:color="000000"/>
        </w:rPr>
      </w:pPr>
      <w:r w:rsidRPr="00D16E87">
        <w:rPr>
          <w:rFonts w:cstheme="minorHAnsi"/>
          <w:b/>
          <w:bCs/>
          <w:color w:val="000000"/>
          <w:kern w:val="0"/>
          <w:sz w:val="28"/>
          <w:szCs w:val="28"/>
          <w:u w:color="000000"/>
        </w:rPr>
        <w:lastRenderedPageBreak/>
        <w:t>What the ledger leaves out</w:t>
      </w:r>
    </w:p>
    <w:p w14:paraId="00607CB0"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The ledger covers only the three years for which China's share is on the public record, so 168 is a floor rather than an estimate of the stock. Three groups sit outside it.</w:t>
      </w:r>
    </w:p>
    <w:p w14:paraId="109C11A1"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Before 2022, China was already buying: SMIC's volume purchase agreement with ASML ran through 2020 and was extended into 2021, a year in which ASML sold 81 immersion systems in total. In 2025, ASML sold roughly 131, with China's share of them undisclosed. And in 2026 China continues to buy, though less, while </w:t>
      </w:r>
      <w:proofErr w:type="spellStart"/>
      <w:r w:rsidRPr="00D16E87">
        <w:rPr>
          <w:rFonts w:cstheme="minorHAnsi"/>
          <w:color w:val="000000"/>
          <w:kern w:val="0"/>
          <w:u w:color="000000"/>
        </w:rPr>
        <w:t>Aishengna's</w:t>
      </w:r>
      <w:proofErr w:type="spellEnd"/>
      <w:r w:rsidRPr="00D16E87">
        <w:rPr>
          <w:rFonts w:cstheme="minorHAnsi"/>
          <w:color w:val="000000"/>
          <w:kern w:val="0"/>
          <w:u w:color="000000"/>
        </w:rPr>
        <w:t xml:space="preserve"> first domestic scanners began arriving in July.</w:t>
      </w:r>
    </w:p>
    <w:p w14:paraId="4E5D0EFA"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Therefore, without guessing the undocumented peripheral years, everything below therefore holds for a stock smaller than China actually has.</w:t>
      </w:r>
    </w:p>
    <w:p w14:paraId="63146B96" w14:textId="77777777" w:rsidR="00D16E87" w:rsidRPr="00D16E87" w:rsidRDefault="00D16E87" w:rsidP="00D16E87">
      <w:pPr>
        <w:autoSpaceDE w:val="0"/>
        <w:autoSpaceDN w:val="0"/>
        <w:adjustRightInd w:val="0"/>
        <w:spacing w:after="298"/>
        <w:rPr>
          <w:rFonts w:cstheme="minorHAnsi"/>
          <w:b/>
          <w:bCs/>
          <w:color w:val="000000"/>
          <w:kern w:val="0"/>
          <w:sz w:val="36"/>
          <w:szCs w:val="36"/>
          <w:u w:color="000000"/>
        </w:rPr>
      </w:pPr>
      <w:r w:rsidRPr="00D16E87">
        <w:rPr>
          <w:rFonts w:cstheme="minorHAnsi"/>
          <w:b/>
          <w:bCs/>
          <w:color w:val="000000"/>
          <w:kern w:val="0"/>
          <w:sz w:val="36"/>
          <w:szCs w:val="36"/>
          <w:u w:color="000000"/>
        </w:rPr>
        <w:t>What that stock could produce</w:t>
      </w:r>
    </w:p>
    <w:p w14:paraId="21703296"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Converting tools into wafers requires knowing how many immersion exposures a 7 nm-class wafer needs at SMIC, which no public source reports. Two published figures bracket it. ASML puts a 7 nm flow at 34 immersion lithography steps against 9 with EUV. Samsung, describing a 7 nm process built without EUV using triple and quadruple patterning, puts the total mask count at 80 to 85. The first counts the layers where multi-patterning replaces EUV; the second counts every mask, most of which are printed on cheaper </w:t>
      </w:r>
      <w:proofErr w:type="spellStart"/>
      <w:r w:rsidRPr="00D16E87">
        <w:rPr>
          <w:rFonts w:cstheme="minorHAnsi"/>
          <w:color w:val="000000"/>
          <w:kern w:val="0"/>
          <w:u w:color="000000"/>
        </w:rPr>
        <w:t>KrF</w:t>
      </w:r>
      <w:proofErr w:type="spellEnd"/>
      <w:r w:rsidRPr="00D16E87">
        <w:rPr>
          <w:rFonts w:cstheme="minorHAnsi"/>
          <w:color w:val="000000"/>
          <w:kern w:val="0"/>
          <w:u w:color="000000"/>
        </w:rPr>
        <w:t xml:space="preserve"> and dry </w:t>
      </w:r>
      <w:proofErr w:type="spellStart"/>
      <w:r w:rsidRPr="00D16E87">
        <w:rPr>
          <w:rFonts w:cstheme="minorHAnsi"/>
          <w:color w:val="000000"/>
          <w:kern w:val="0"/>
          <w:u w:color="000000"/>
        </w:rPr>
        <w:t>ArF</w:t>
      </w:r>
      <w:proofErr w:type="spellEnd"/>
      <w:r w:rsidRPr="00D16E87">
        <w:rPr>
          <w:rFonts w:cstheme="minorHAnsi"/>
          <w:color w:val="000000"/>
          <w:kern w:val="0"/>
          <w:u w:color="000000"/>
        </w:rPr>
        <w:t xml:space="preserve"> tools.</w:t>
      </w:r>
    </w:p>
    <w:p w14:paraId="685156D8"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I run the arithmetic at 85, treating every mask as an immersion exposure. That is not an estimate of SMIC's flow but a ceiling, chosen so the result holds under the assumption least favourable to it. Throughput is the 1980Di's 275 wafers per hour, the slowest tool plausibly in this cohort. Utilisation, the share of time a scanner is actually exposing wafers, after maintenance, calibration and idle time, runs from an impossible 100% down to a deliberately harsh 50%, well below what a fab running at capacity would accept.</w:t>
      </w:r>
    </w:p>
    <w:p w14:paraId="137D78B5"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On those terms, the 168 tools could pattern roughly 198,000 to 397,000 7 nm-class wafers a month. SMIC's advanced-node capacity at the end of 2025 is estimated at around 45,000 wafers a month. Supporting that takes 19 to 38 tools, between a ninth and a quarter of the cohort. At ASML's 34-step figure, it takes 8 to 15 tools, and the cohort's capacity rises to 495,000 to 991,000 wafers a month.</w:t>
      </w:r>
    </w:p>
    <w:p w14:paraId="4F8C823B"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Volume might eventually bind, but not soon. The reported end-2027 target of about 160,000 wafers a month needs 68 to 136 tools at the conservative count, still inside the cohort. The stated 2030 ambition of 500,000 needs 212 to 424, which the 2022–24 purchases could not supply alone, though at ASML's exposure count it needs 85 to 169, which they might be able to. Whether imported lithography ever caps China's advanced-wafer volume therefore turns on assumptions the public record cannot settle, and on the tools this ledger deliberately excludes. What can be said is that it does not cap output now, and will not at the scale China is targeting for 2027.</w:t>
      </w:r>
    </w:p>
    <w:p w14:paraId="5C6D0067" w14:textId="77777777" w:rsidR="00D16E87" w:rsidRPr="00D16E87" w:rsidRDefault="00D16E87" w:rsidP="00D16E87">
      <w:pPr>
        <w:autoSpaceDE w:val="0"/>
        <w:autoSpaceDN w:val="0"/>
        <w:adjustRightInd w:val="0"/>
        <w:spacing w:after="280"/>
        <w:rPr>
          <w:rFonts w:cstheme="minorHAnsi"/>
          <w:b/>
          <w:bCs/>
          <w:color w:val="000000"/>
          <w:kern w:val="0"/>
          <w:sz w:val="28"/>
          <w:szCs w:val="28"/>
          <w:u w:color="000000"/>
        </w:rPr>
      </w:pPr>
      <w:r w:rsidRPr="00D16E87">
        <w:rPr>
          <w:rFonts w:cstheme="minorHAnsi"/>
          <w:b/>
          <w:bCs/>
          <w:color w:val="000000"/>
          <w:kern w:val="0"/>
          <w:sz w:val="28"/>
          <w:szCs w:val="28"/>
          <w:u w:color="000000"/>
        </w:rPr>
        <w:t>The limits of the ledger</w:t>
      </w:r>
    </w:p>
    <w:p w14:paraId="5CB549A1"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lastRenderedPageBreak/>
        <w:t>Three limits are worth stating plainly.</w:t>
      </w:r>
    </w:p>
    <w:p w14:paraId="31D69A01"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First, these are China's tools, not SMIC's. ASML's largest Chinese customers include the memory makers CXMT and YMTC alongside SMIC and the fabs linked to Huawei, and the Committee reports that China's surge in 1980i purchases was made purportedly for fabs producing foundational and legacy chips. The claim that lithography does not constrain SMIC's current output requires SMIC and its affiliates to hold at least a ninth to a quarter of the cohort. Given SMIC's position among ASML's largest Chinese customers, and a state that can direct where tools sit, I think that very likely, but it is not documented, and it is the assumption a sceptical reader should press hardest.</w:t>
      </w:r>
    </w:p>
    <w:p w14:paraId="10DEDD2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Second, scanners are not fabs. Lithography is one step among hundreds, and exposure capacity is an upper bound on what a fab could pattern rather than a forecast of what it will produce. Etch, deposition and metrology are themselves export-controlled, and yield at a multi-patterned 7 nm-class node is poor enough that wafer starts overstate finished die considerably. Showing that lithography is not the binding constraint does not show that nothing else binds; it narrows the field rather than clearing it.</w:t>
      </w:r>
    </w:p>
    <w:p w14:paraId="50D6CAE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Third, the exposure counts are borrowed. Both the 34 and the 85 describe generic 7 nm flows from the period when EUV was being introduced elsewhere. SMIC's process is reportedly built on a different patterning scheme, and its true immersion count could sit at or above the top of that range, which is precisely why the conservative figure rather than ASML's carries the argument here.</w:t>
      </w:r>
    </w:p>
    <w:p w14:paraId="5B32E06D" w14:textId="77777777" w:rsidR="00D16E87" w:rsidRPr="00D16E87" w:rsidRDefault="00D16E87" w:rsidP="00D16E87">
      <w:pPr>
        <w:autoSpaceDE w:val="0"/>
        <w:autoSpaceDN w:val="0"/>
        <w:adjustRightInd w:val="0"/>
        <w:spacing w:after="298"/>
        <w:rPr>
          <w:rFonts w:cstheme="minorHAnsi"/>
          <w:b/>
          <w:bCs/>
          <w:color w:val="000000"/>
          <w:kern w:val="0"/>
          <w:sz w:val="36"/>
          <w:szCs w:val="36"/>
          <w:u w:color="000000"/>
        </w:rPr>
      </w:pPr>
      <w:r w:rsidRPr="00D16E87">
        <w:rPr>
          <w:rFonts w:cstheme="minorHAnsi"/>
          <w:b/>
          <w:bCs/>
          <w:color w:val="000000"/>
          <w:kern w:val="0"/>
          <w:sz w:val="36"/>
          <w:szCs w:val="36"/>
          <w:u w:color="000000"/>
        </w:rPr>
        <w:t>Where lithography enters the gap</w:t>
      </w:r>
    </w:p>
    <w:p w14:paraId="49D88DA3"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Epoch builds its 2028 estimate as a chain of ratios. Nvidia secures 7.3x more HBM wafer starts than Huawei can get domestically, gets 1.5x more yielded gigabytes from each wafer, and pairs 9.1x more compute with each gigabyte. Multiplied, that is roughly a 100x compute gap. The same chain with bandwidth in the final term gives 2.9x and a 32x bandwidth gap.</w:t>
      </w:r>
    </w:p>
    <w:p w14:paraId="13BE907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Lithography barely enters the first two terms. Together they are an 11x gap in usable HBM, and its three determinants all sit inside China's DRAM industry: how many wafers CXMT allocates to HBM rather than ordinary DRAM, how fast it converts existing lines, and how many stacks survive bonding. Advanced DRAM is made on 1980-class immersion tools, which China can still buy. The controls did not create this bottleneck.</w:t>
      </w:r>
    </w:p>
    <w:p w14:paraId="10B8EE70"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The third term is different, and it can be split. Dividing the compute chain's final term by the bandwidth chain's gives roughly 3.1x: the compute Nvidia pairs with each unit of memory bandwidth, relative to Huawei's. </w:t>
      </w:r>
      <w:proofErr w:type="gramStart"/>
      <w:r w:rsidRPr="00D16E87">
        <w:rPr>
          <w:rFonts w:cstheme="minorHAnsi"/>
          <w:color w:val="000000"/>
          <w:kern w:val="0"/>
          <w:u w:color="000000"/>
        </w:rPr>
        <w:t>So</w:t>
      </w:r>
      <w:proofErr w:type="gramEnd"/>
      <w:r w:rsidRPr="00D16E87">
        <w:rPr>
          <w:rFonts w:cstheme="minorHAnsi"/>
          <w:color w:val="000000"/>
          <w:kern w:val="0"/>
          <w:u w:color="000000"/>
        </w:rPr>
        <w:t xml:space="preserve"> Epoch's 100x decomposes into about 11x memory quantity, 2.9x memory quality, and 3.1x logic. Memory quality reflects HBM generation. The logic term is where transistor density, die area and packaging live, and it is the term lithography governs.</w:t>
      </w:r>
    </w:p>
    <w:p w14:paraId="21A003EC"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Two qualifications. The 3.1x is not purely a density number; it also reflects architecture, the chip mix Epoch assumes for each side in 2028, and how many dies each packages together. Lithography is its largest driver, not its only one. And lithography plausibly contributes to the 2.9x memory-quality term as well, since leading DRAM nodes use EUV and CXMT's do </w:t>
      </w:r>
      <w:r w:rsidRPr="00D16E87">
        <w:rPr>
          <w:rFonts w:cstheme="minorHAnsi"/>
          <w:color w:val="000000"/>
          <w:kern w:val="0"/>
          <w:u w:color="000000"/>
        </w:rPr>
        <w:lastRenderedPageBreak/>
        <w:t>not, which would make the lithography channel larger than 3.1x rather than smaller. This is outside the scope of this piece, and so I have not quantified it.</w:t>
      </w:r>
    </w:p>
    <w:p w14:paraId="12C34848" w14:textId="77777777" w:rsidR="00D16E87" w:rsidRPr="00D16E87" w:rsidRDefault="00D16E87" w:rsidP="00D16E87">
      <w:pPr>
        <w:autoSpaceDE w:val="0"/>
        <w:autoSpaceDN w:val="0"/>
        <w:adjustRightInd w:val="0"/>
        <w:spacing w:after="280"/>
        <w:rPr>
          <w:rFonts w:cstheme="minorHAnsi"/>
          <w:b/>
          <w:bCs/>
          <w:color w:val="000000"/>
          <w:kern w:val="0"/>
          <w:sz w:val="28"/>
          <w:szCs w:val="28"/>
          <w:u w:color="000000"/>
        </w:rPr>
      </w:pPr>
      <w:r w:rsidRPr="00D16E87">
        <w:rPr>
          <w:rFonts w:cstheme="minorHAnsi"/>
          <w:b/>
          <w:bCs/>
          <w:color w:val="000000"/>
          <w:kern w:val="0"/>
          <w:sz w:val="28"/>
          <w:szCs w:val="28"/>
          <w:u w:color="000000"/>
        </w:rPr>
        <w:t>A tax, not a wall</w:t>
      </w:r>
    </w:p>
    <w:p w14:paraId="68B8B9EF"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This matters more than the size of the numbers suggests. A density deficit is not a hard wall; it is an exchange rate. Huawei can buy back compute by spending more silicon, bigger dies, more dies per package, more wafers per accelerator. That is the strategy the constraint pushes it toward. But every unit of compute recovered that way is paid for in wafer starts, and wafer starts are what the ledger measured.</w:t>
      </w:r>
    </w:p>
    <w:p w14:paraId="11C2067B"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The two quantities can be put together, though only through approximation. To match Nvidia’s accelerator’s compute in 2028, Huawei needs on the order of nine of its own on Epoch’s median estimate, of which around three are attributable to the logic side rather than to memory. Each Ascend-class logic die plausibly occupies 500-700 mm² against a </w:t>
      </w:r>
      <w:proofErr w:type="spellStart"/>
      <w:r w:rsidRPr="00D16E87">
        <w:rPr>
          <w:rFonts w:cstheme="minorHAnsi"/>
          <w:color w:val="000000"/>
          <w:kern w:val="0"/>
          <w:u w:color="000000"/>
        </w:rPr>
        <w:t>reticle</w:t>
      </w:r>
      <w:proofErr w:type="spellEnd"/>
      <w:r w:rsidRPr="00D16E87">
        <w:rPr>
          <w:rFonts w:cstheme="minorHAnsi"/>
          <w:color w:val="000000"/>
          <w:kern w:val="0"/>
          <w:u w:color="000000"/>
        </w:rPr>
        <w:t xml:space="preserve"> limit near 858 mm², so a 300 mm wafer with roughly 70,700 mm² of usable area yields somewhere near 90 to 130 gross </w:t>
      </w:r>
      <w:proofErr w:type="gramStart"/>
      <w:r w:rsidRPr="00D16E87">
        <w:rPr>
          <w:rFonts w:cstheme="minorHAnsi"/>
          <w:color w:val="000000"/>
          <w:kern w:val="0"/>
          <w:u w:color="000000"/>
        </w:rPr>
        <w:t>die</w:t>
      </w:r>
      <w:proofErr w:type="gramEnd"/>
      <w:r w:rsidRPr="00D16E87">
        <w:rPr>
          <w:rFonts w:cstheme="minorHAnsi"/>
          <w:color w:val="000000"/>
          <w:kern w:val="0"/>
          <w:u w:color="000000"/>
        </w:rPr>
        <w:t xml:space="preserve"> before yield losses.</w:t>
      </w:r>
    </w:p>
    <w:p w14:paraId="5B7F4B70"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Yield enters twice. Reported yields for SMIC's 7 nm-class process sit materially below TSMC's at the same node, so the same wafer capacity delivers fewer usable die: the headroom measured in silicon that works is smaller than the headroom measured in wafer starts. More importantly, yield falls with die area on any process, and falls faster on one carrying more mask layers. The strategy the density deficit pushes Huawei toward larger dies to recover compute therefore meets a yield penalty that compounds with the area penalty it is trying to escape.</w:t>
      </w:r>
    </w:p>
    <w:p w14:paraId="3D7DEEB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Run that through the ledger. The documented cohort supports four to nine times SMIC's current advanced-node output in wafer starts. At half TSMC-equivalent yield, that becomes roughly two to four and a half times in usable die. Against a wafer requirement three to six times higher than a density-parity competitor would face, the headroom is sufficient at the optimistic end of both ranges and insufficient at the pessimistic end. The honest conclusion is that the imported stock is probably, but not certainly, large enough for China to buy its density deficit back in silicon and that the uncertainty sits almost entirely in yield and die area rather than in the tool count.</w:t>
      </w:r>
    </w:p>
    <w:p w14:paraId="233BB2F5" w14:textId="77777777" w:rsidR="00D16E87" w:rsidRPr="00D16E87" w:rsidRDefault="00D16E87" w:rsidP="00D16E87">
      <w:pPr>
        <w:autoSpaceDE w:val="0"/>
        <w:autoSpaceDN w:val="0"/>
        <w:adjustRightInd w:val="0"/>
        <w:rPr>
          <w:rFonts w:cstheme="minorHAnsi"/>
          <w:color w:val="000000"/>
          <w:kern w:val="0"/>
          <w:u w:color="000000"/>
        </w:rPr>
      </w:pPr>
      <w:r w:rsidRPr="00D16E87">
        <w:rPr>
          <w:rFonts w:cstheme="minorHAnsi"/>
          <w:color w:val="000000"/>
          <w:kern w:val="0"/>
          <w:u w:color="000000"/>
        </w:rPr>
        <w:t xml:space="preserve">Packaging sits awkwardly in this decomposition. It is inside the logic term, since how many dies each side combines </w:t>
      </w:r>
      <w:proofErr w:type="gramStart"/>
      <w:r w:rsidRPr="00D16E87">
        <w:rPr>
          <w:rFonts w:cstheme="minorHAnsi"/>
          <w:color w:val="000000"/>
          <w:kern w:val="0"/>
          <w:u w:color="000000"/>
        </w:rPr>
        <w:t>affects</w:t>
      </w:r>
      <w:proofErr w:type="gramEnd"/>
      <w:r w:rsidRPr="00D16E87">
        <w:rPr>
          <w:rFonts w:cstheme="minorHAnsi"/>
          <w:color w:val="000000"/>
          <w:kern w:val="0"/>
          <w:u w:color="000000"/>
        </w:rPr>
        <w:t xml:space="preserve"> compute per gigabyte, but it is also a separate supply chain with its own chokepoints and its own export-control exposure, and it is the main route by which China could substitute for density without printing denser. Huawei's </w:t>
      </w:r>
      <w:proofErr w:type="spellStart"/>
      <w:r w:rsidRPr="00D16E87">
        <w:rPr>
          <w:rFonts w:cstheme="minorHAnsi"/>
          <w:color w:val="000000"/>
          <w:kern w:val="0"/>
          <w:u w:color="000000"/>
        </w:rPr>
        <w:t>LogicFolding</w:t>
      </w:r>
      <w:proofErr w:type="spellEnd"/>
      <w:r w:rsidRPr="00D16E87">
        <w:rPr>
          <w:rFonts w:cstheme="minorHAnsi"/>
          <w:color w:val="000000"/>
          <w:kern w:val="0"/>
          <w:u w:color="000000"/>
        </w:rPr>
        <w:t xml:space="preserve"> programme, which stacks logic dies vertically to reach the transistor density of a far more advanced node, is that bet. </w:t>
      </w:r>
    </w:p>
    <w:p w14:paraId="444D17A0" w14:textId="77777777" w:rsidR="00D16E87" w:rsidRPr="00D16E87" w:rsidRDefault="00D16E87" w:rsidP="00D16E87">
      <w:pPr>
        <w:autoSpaceDE w:val="0"/>
        <w:autoSpaceDN w:val="0"/>
        <w:adjustRightInd w:val="0"/>
        <w:rPr>
          <w:rFonts w:cstheme="minorHAnsi"/>
          <w:color w:val="000000"/>
          <w:kern w:val="0"/>
          <w:u w:color="000000"/>
        </w:rPr>
      </w:pPr>
    </w:p>
    <w:p w14:paraId="5C903EEC" w14:textId="77777777" w:rsidR="00D16E87" w:rsidRPr="00D16E87" w:rsidRDefault="00D16E87" w:rsidP="00D16E87">
      <w:pPr>
        <w:autoSpaceDE w:val="0"/>
        <w:autoSpaceDN w:val="0"/>
        <w:adjustRightInd w:val="0"/>
        <w:rPr>
          <w:rFonts w:cstheme="minorHAnsi"/>
          <w:b/>
          <w:bCs/>
          <w:color w:val="000000"/>
          <w:kern w:val="0"/>
          <w:sz w:val="32"/>
          <w:szCs w:val="32"/>
          <w:u w:color="000000"/>
        </w:rPr>
      </w:pPr>
      <w:r w:rsidRPr="00D16E87">
        <w:rPr>
          <w:rFonts w:cstheme="minorHAnsi"/>
          <w:b/>
          <w:bCs/>
          <w:color w:val="000000"/>
          <w:kern w:val="0"/>
          <w:sz w:val="32"/>
          <w:szCs w:val="32"/>
          <w:u w:color="000000"/>
        </w:rPr>
        <w:t>What a density deficit actually costs</w:t>
      </w:r>
    </w:p>
    <w:p w14:paraId="24CACFDC" w14:textId="77777777" w:rsidR="00D16E87" w:rsidRPr="00D16E87" w:rsidRDefault="00D16E87" w:rsidP="00D16E87">
      <w:pPr>
        <w:autoSpaceDE w:val="0"/>
        <w:autoSpaceDN w:val="0"/>
        <w:adjustRightInd w:val="0"/>
        <w:rPr>
          <w:rFonts w:cstheme="minorHAnsi"/>
          <w:color w:val="000000"/>
          <w:kern w:val="0"/>
          <w:u w:color="000000"/>
        </w:rPr>
      </w:pPr>
    </w:p>
    <w:p w14:paraId="1394E286"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Transistor density sounds like an engineering detail. Being concrete about what it buys is what settles the exchange rate, because each thing density provides substitutes for area at a different price.</w:t>
      </w:r>
    </w:p>
    <w:p w14:paraId="51C2D99D"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lastRenderedPageBreak/>
        <w:t xml:space="preserve">At the device level, density is a hard limit. A chip's throughput is roughly transistors times clock speed times architectural efficiency; transistors are density times area, and area is capped by the </w:t>
      </w:r>
      <w:proofErr w:type="spellStart"/>
      <w:r w:rsidRPr="00D16E87">
        <w:rPr>
          <w:rFonts w:cstheme="minorHAnsi"/>
          <w:color w:val="000000"/>
          <w:kern w:val="0"/>
          <w:u w:color="000000"/>
        </w:rPr>
        <w:t>reticle</w:t>
      </w:r>
      <w:proofErr w:type="spellEnd"/>
      <w:r w:rsidRPr="00D16E87">
        <w:rPr>
          <w:rFonts w:cstheme="minorHAnsi"/>
          <w:color w:val="000000"/>
          <w:kern w:val="0"/>
          <w:u w:color="000000"/>
        </w:rPr>
        <w:t xml:space="preserve"> field. A designer a generation behind on density who wants equal compute per die has nowhere to go, because they have already used the whole </w:t>
      </w:r>
      <w:proofErr w:type="spellStart"/>
      <w:r w:rsidRPr="00D16E87">
        <w:rPr>
          <w:rFonts w:cstheme="minorHAnsi"/>
          <w:color w:val="000000"/>
          <w:kern w:val="0"/>
          <w:u w:color="000000"/>
        </w:rPr>
        <w:t>reticle</w:t>
      </w:r>
      <w:proofErr w:type="spellEnd"/>
      <w:r w:rsidRPr="00D16E87">
        <w:rPr>
          <w:rFonts w:cstheme="minorHAnsi"/>
          <w:color w:val="000000"/>
          <w:kern w:val="0"/>
          <w:u w:color="000000"/>
        </w:rPr>
        <w:t>. At the system level it is not a hard limit, because the workload parallelises. The exchange rate is the price of moving the problem from the first level to the second.</w:t>
      </w:r>
    </w:p>
    <w:p w14:paraId="3B2338F2"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That price has four components, and they are not equally payable.</w:t>
      </w:r>
    </w:p>
    <w:p w14:paraId="514C7EBE"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Energy per operation.</w:t>
      </w:r>
      <w:r w:rsidRPr="00D16E87">
        <w:rPr>
          <w:rFonts w:cstheme="minorHAnsi"/>
          <w:color w:val="000000"/>
          <w:kern w:val="0"/>
          <w:u w:color="000000"/>
        </w:rPr>
        <w:t xml:space="preserve"> Smaller transistors switch with less charge, so an older node costs more joules per operation. This is decisive if you are power-constrained, and it is the component China is best placed to absorb: generating capacity is the input it is least short of. Rack-level power density remains a real engineering problem; you cannot cool arbitrarily hot racks regardless of grid supply, but that is a data centre design constraint, not a national one.</w:t>
      </w:r>
    </w:p>
    <w:p w14:paraId="7EA72F43"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Cost per unit of compute.</w:t>
      </w:r>
      <w:r w:rsidRPr="00D16E87">
        <w:rPr>
          <w:rFonts w:cstheme="minorHAnsi"/>
          <w:color w:val="000000"/>
          <w:kern w:val="0"/>
          <w:u w:color="000000"/>
        </w:rPr>
        <w:t xml:space="preserve"> More dies per unit of compute, on a process with lower yield and higher mask counts, means more wafers and more capital per delivered FLOP/s. Real, but the least binding: state-directed capital is precisely what China can supply.</w:t>
      </w:r>
    </w:p>
    <w:p w14:paraId="6ECD2149"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Chip count, and this is the one that compounds.</w:t>
      </w:r>
      <w:r w:rsidRPr="00D16E87">
        <w:rPr>
          <w:rFonts w:cstheme="minorHAnsi"/>
          <w:color w:val="000000"/>
          <w:kern w:val="0"/>
          <w:u w:color="000000"/>
        </w:rPr>
        <w:t xml:space="preserve"> If each accelerator delivers a third of the compute, a cluster of equal capability needs three times the accelerators — but a 3x device deficit does not produce a 3x cluster deficit; it produces something worse. Chips must be connected, and the tightly coupled domain within which they behave almost like a single device is itself bounded by packaging, </w:t>
      </w:r>
      <w:proofErr w:type="spellStart"/>
      <w:r w:rsidRPr="00D16E87">
        <w:rPr>
          <w:rFonts w:cstheme="minorHAnsi"/>
          <w:color w:val="000000"/>
          <w:kern w:val="0"/>
          <w:u w:color="000000"/>
        </w:rPr>
        <w:t>serialiser</w:t>
      </w:r>
      <w:proofErr w:type="spellEnd"/>
      <w:r w:rsidRPr="00D16E87">
        <w:rPr>
          <w:rFonts w:cstheme="minorHAnsi"/>
          <w:color w:val="000000"/>
          <w:kern w:val="0"/>
          <w:u w:color="000000"/>
        </w:rPr>
        <w:t xml:space="preserve"> density and optics, all areas where China is also behind. Spreading a training run across three times the devices </w:t>
      </w:r>
      <w:proofErr w:type="gramStart"/>
      <w:r w:rsidRPr="00D16E87">
        <w:rPr>
          <w:rFonts w:cstheme="minorHAnsi"/>
          <w:color w:val="000000"/>
          <w:kern w:val="0"/>
          <w:u w:color="000000"/>
        </w:rPr>
        <w:t>means</w:t>
      </w:r>
      <w:proofErr w:type="gramEnd"/>
      <w:r w:rsidRPr="00D16E87">
        <w:rPr>
          <w:rFonts w:cstheme="minorHAnsi"/>
          <w:color w:val="000000"/>
          <w:kern w:val="0"/>
          <w:u w:color="000000"/>
        </w:rPr>
        <w:t xml:space="preserve"> a larger share of each step is spent moving activations rather than computing them, and more hardware failures per unit of work, each interrupting a job that must restart from a checkpoint. Both penalties grow with scale rather than staying proportional to it.</w:t>
      </w:r>
    </w:p>
    <w:p w14:paraId="4E82E8C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This is why the exchange rate between area and compute is worse than one-for-one, and why the deficit lands unevenly across workloads. Inference parallelises across independent requests and tolerates more, weaker chips, though the 32x bandwidth gap bites here, since decode throughput scales with memory bandwidth rather than FLOPs. A single large training run is the workload least able to absorb being spread thinner. Research iteration sits in between and may matter most: a compute tax is an experiment-rate tax, and fewer experiments means slower algorithmic progress, which is the mechanism that would otherwise substitute for the missing silicon.</w:t>
      </w:r>
    </w:p>
    <w:p w14:paraId="0F28EC7E"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That last interaction is the strongest version of the argument, and also the least settled. Epoch's own work puts the compute needed for a fixed capability level halving roughly every eight months, which makes a 100x gap worth something like four to five years of algorithmic progress rather than a permanent exclusion. Chinese labs have so far demonstrated unusual efficiency under constraint, which is the opposite prediction to the feedback story. I would not claim the question is resolved.</w:t>
      </w:r>
    </w:p>
    <w:p w14:paraId="30055B37" w14:textId="77777777" w:rsidR="00D16E87" w:rsidRPr="00D16E87" w:rsidRDefault="00D16E87" w:rsidP="00D16E87">
      <w:pPr>
        <w:autoSpaceDE w:val="0"/>
        <w:autoSpaceDN w:val="0"/>
        <w:adjustRightInd w:val="0"/>
        <w:spacing w:after="240"/>
        <w:rPr>
          <w:rFonts w:cstheme="minorHAnsi"/>
          <w:color w:val="000000"/>
          <w:kern w:val="0"/>
          <w:u w:color="000000"/>
        </w:rPr>
      </w:pPr>
      <w:proofErr w:type="gramStart"/>
      <w:r w:rsidRPr="00D16E87">
        <w:rPr>
          <w:rFonts w:cstheme="minorHAnsi"/>
          <w:color w:val="000000"/>
          <w:kern w:val="0"/>
          <w:u w:color="000000"/>
        </w:rPr>
        <w:lastRenderedPageBreak/>
        <w:t>So</w:t>
      </w:r>
      <w:proofErr w:type="gramEnd"/>
      <w:r w:rsidRPr="00D16E87">
        <w:rPr>
          <w:rFonts w:cstheme="minorHAnsi"/>
          <w:color w:val="000000"/>
          <w:kern w:val="0"/>
          <w:u w:color="000000"/>
        </w:rPr>
        <w:t xml:space="preserve"> the deficit is a tax on every unit of compute, paid in silicon, power and engineering complexity, and levied most heavily on exactly the workload that decides frontier capability. Whether that is decisive depends on how long China pays it.</w:t>
      </w:r>
    </w:p>
    <w:p w14:paraId="588924B8" w14:textId="77777777" w:rsidR="00D16E87" w:rsidRPr="00D16E87" w:rsidRDefault="00D16E87" w:rsidP="00D16E87">
      <w:pPr>
        <w:autoSpaceDE w:val="0"/>
        <w:autoSpaceDN w:val="0"/>
        <w:adjustRightInd w:val="0"/>
        <w:spacing w:after="298"/>
        <w:rPr>
          <w:rFonts w:cstheme="minorHAnsi"/>
          <w:b/>
          <w:bCs/>
          <w:color w:val="000000"/>
          <w:kern w:val="0"/>
          <w:sz w:val="36"/>
          <w:szCs w:val="36"/>
          <w:u w:color="000000"/>
        </w:rPr>
      </w:pPr>
      <w:r w:rsidRPr="00D16E87">
        <w:rPr>
          <w:rFonts w:cstheme="minorHAnsi"/>
          <w:b/>
          <w:bCs/>
          <w:color w:val="000000"/>
          <w:kern w:val="0"/>
          <w:sz w:val="36"/>
          <w:szCs w:val="36"/>
          <w:u w:color="000000"/>
        </w:rPr>
        <w:t>Why the two constraints relieve at different speeds</w:t>
      </w:r>
    </w:p>
    <w:p w14:paraId="20529B96"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If memory quantity binds now and the logic tax binds later, the question is how long each </w:t>
      </w:r>
      <w:proofErr w:type="gramStart"/>
      <w:r w:rsidRPr="00D16E87">
        <w:rPr>
          <w:rFonts w:cstheme="minorHAnsi"/>
          <w:color w:val="000000"/>
          <w:kern w:val="0"/>
          <w:u w:color="000000"/>
        </w:rPr>
        <w:t>lasts</w:t>
      </w:r>
      <w:proofErr w:type="gramEnd"/>
      <w:r w:rsidRPr="00D16E87">
        <w:rPr>
          <w:rFonts w:cstheme="minorHAnsi"/>
          <w:color w:val="000000"/>
          <w:kern w:val="0"/>
          <w:u w:color="000000"/>
        </w:rPr>
        <w:t>. The two are not alike in this respect.</w:t>
      </w:r>
    </w:p>
    <w:p w14:paraId="1C277CD2"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Memory has a visible path to relief. CXMT's HBM-allocated wafer starts are projected to rise from around 5,000 a month at the end of 2025 to 100,000 by 2028. That path still leaves a 7.3x wafer-start gap in Epoch's 2028 estimate, so memory does not stop binding by then — but it is tightening, and it is tightening on equipment China can legally buy. Immersion scanners in the 1980 class serve advanced DRAM. The controls that closed off EUV do not close off memory expansion.</w:t>
      </w:r>
    </w:p>
    <w:p w14:paraId="31EC480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Density has no comparable path this decade. Closing the logic gap requires printing denser, which requires EUV, and the AI Futures Project's base rates put commercial-scale Chinese EUV in the late 2030s. China's domestic DUV programme relieves the wrong constraint: </w:t>
      </w:r>
      <w:proofErr w:type="spellStart"/>
      <w:r w:rsidRPr="00D16E87">
        <w:rPr>
          <w:rFonts w:cstheme="minorHAnsi"/>
          <w:color w:val="000000"/>
          <w:kern w:val="0"/>
          <w:u w:color="000000"/>
        </w:rPr>
        <w:t>Aishengna's</w:t>
      </w:r>
      <w:proofErr w:type="spellEnd"/>
      <w:r w:rsidRPr="00D16E87">
        <w:rPr>
          <w:rFonts w:cstheme="minorHAnsi"/>
          <w:color w:val="000000"/>
          <w:kern w:val="0"/>
          <w:u w:color="000000"/>
        </w:rPr>
        <w:t xml:space="preserve"> tools add immersion capacity at roughly the generation China already holds, which buys more wafers to spend on the tax rather than reducing the tax itself. A country that successfully indigenises immersion lithography in the mid-2030s has solved the problem this article finds is not binding.</w:t>
      </w:r>
    </w:p>
    <w:p w14:paraId="5093EFD0"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Nor does the imported stock decay on its own as ASML extends tool life beyond 20 years and derives a substantial share of sales from servicing an installed base of over 6,000 systems. Absent a servicing restriction, the tools China holds in 2026 remain usable well into the 2040s.</w:t>
      </w:r>
    </w:p>
    <w:p w14:paraId="5663CC0A" w14:textId="77777777" w:rsidR="00D16E87" w:rsidRPr="00D16E87" w:rsidRDefault="00D16E87" w:rsidP="00D16E87">
      <w:pPr>
        <w:autoSpaceDE w:val="0"/>
        <w:autoSpaceDN w:val="0"/>
        <w:adjustRightInd w:val="0"/>
        <w:spacing w:after="240"/>
        <w:rPr>
          <w:rFonts w:cstheme="minorHAnsi"/>
          <w:color w:val="000000"/>
          <w:kern w:val="0"/>
          <w:u w:color="000000"/>
        </w:rPr>
      </w:pPr>
      <w:proofErr w:type="gramStart"/>
      <w:r w:rsidRPr="00D16E87">
        <w:rPr>
          <w:rFonts w:cstheme="minorHAnsi"/>
          <w:color w:val="000000"/>
          <w:kern w:val="0"/>
          <w:u w:color="000000"/>
        </w:rPr>
        <w:t>So</w:t>
      </w:r>
      <w:proofErr w:type="gramEnd"/>
      <w:r w:rsidRPr="00D16E87">
        <w:rPr>
          <w:rFonts w:cstheme="minorHAnsi"/>
          <w:color w:val="000000"/>
          <w:kern w:val="0"/>
          <w:u w:color="000000"/>
        </w:rPr>
        <w:t xml:space="preserve"> the asymmetry is roughly an order of magnitude in time. The memory constraint loosens every year, on purchasable equipment that improves year on year. The logic constraint is fixed until either an EUV breakthrough arrives around a decade out, or packaging finds a way around it.</w:t>
      </w:r>
    </w:p>
    <w:p w14:paraId="4D976E6E" w14:textId="77777777" w:rsidR="00D16E87" w:rsidRPr="00D16E87" w:rsidRDefault="00D16E87" w:rsidP="00D16E87">
      <w:pPr>
        <w:autoSpaceDE w:val="0"/>
        <w:autoSpaceDN w:val="0"/>
        <w:adjustRightInd w:val="0"/>
        <w:spacing w:after="298"/>
        <w:rPr>
          <w:rFonts w:cstheme="minorHAnsi"/>
          <w:b/>
          <w:bCs/>
          <w:color w:val="000000"/>
          <w:kern w:val="0"/>
          <w:sz w:val="36"/>
          <w:szCs w:val="36"/>
          <w:u w:color="000000"/>
        </w:rPr>
      </w:pPr>
      <w:r w:rsidRPr="00D16E87">
        <w:rPr>
          <w:rFonts w:cstheme="minorHAnsi"/>
          <w:b/>
          <w:bCs/>
          <w:color w:val="000000"/>
          <w:kern w:val="0"/>
          <w:sz w:val="36"/>
          <w:szCs w:val="36"/>
          <w:u w:color="000000"/>
        </w:rPr>
        <w:t>What this implies about the controls</w:t>
      </w:r>
    </w:p>
    <w:p w14:paraId="457440C9"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Two readings of the export controls are in circulation. One holds that they failed, pointing to China's record purchases, 70% of ASML's immersion output in 2024, during the tightest restrictions in the industry's history. On the analysis above, that reading mistakes the metric. Record volume sales are not evidence of failure if volume was never the thing worth denying. The controls succeeded at what compounds, denying the tool that sets density, and conceded what China has in abundance: capacity for wafer starts.</w:t>
      </w:r>
    </w:p>
    <w:p w14:paraId="17E63C28"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The second reading holds that the controls are nearly right but leak, and that the remaining job is to close the 1980i channel and restrict servicing of tools already installed. That deserves a better answer than "the loophole is small." The case for closing it is not about 2026 output, where the stock is plainly sufficient. It is insurance against precisely the </w:t>
      </w:r>
      <w:r w:rsidRPr="00D16E87">
        <w:rPr>
          <w:rFonts w:cstheme="minorHAnsi"/>
          <w:color w:val="000000"/>
          <w:kern w:val="0"/>
          <w:u w:color="000000"/>
        </w:rPr>
        <w:lastRenderedPageBreak/>
        <w:t>strategy the density constraint pushes Huawei toward. If China's response to a 3x logic penalty is to spend three times the silicon, then wafer volume becomes the binding resource and the marginal immersion scanner starts to matter in a way it does not today. On that logic, the loophole is worth closing not because it is currently load-bearing, but because it becomes load-bearing exactly when the rest of China's strategy works. That is a stronger argument than the one usually made for it, and the one I find persuasive.</w:t>
      </w:r>
    </w:p>
    <w:p w14:paraId="769E9BE6"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Servicing restrictions are a different matter. They are the only lever that touches the installed base, which is otherwise permanent, and roughly a quarter of ASML's revenue comes from that base. They would also cut across existing service arrangements, strain Dutch and allied politics, invite retaliation on rare earths, and push China's indigenisation programme from a commercial project to an existential one. This analysis does not settle whether they are worth it. It does say where they would bite: on volume rather than density, and therefore on the brute-force path rather than on the ceiling itself.</w:t>
      </w:r>
    </w:p>
    <w:p w14:paraId="3DCFD0CC"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 xml:space="preserve">One implication </w:t>
      </w:r>
      <w:proofErr w:type="gramStart"/>
      <w:r w:rsidRPr="00D16E87">
        <w:rPr>
          <w:rFonts w:cstheme="minorHAnsi"/>
          <w:color w:val="000000"/>
          <w:kern w:val="0"/>
          <w:u w:color="000000"/>
        </w:rPr>
        <w:t>cuts</w:t>
      </w:r>
      <w:proofErr w:type="gramEnd"/>
      <w:r w:rsidRPr="00D16E87">
        <w:rPr>
          <w:rFonts w:cstheme="minorHAnsi"/>
          <w:color w:val="000000"/>
          <w:kern w:val="0"/>
          <w:u w:color="000000"/>
        </w:rPr>
        <w:t xml:space="preserve"> against my own argument and should be stated. If lithography is a tax rather than a wall, then Chinese AI compute is more elastic to fab capacity than a pure ceiling story implies. Every marginal advanced-node wafer SMIC brings online converts into compute at an inefficient but real exchange rate. Controls on etch, deposition and metrology, where China's domestic substitution is further along, may therefore matter more for total Chinese compute than further lithography restrictions do.</w:t>
      </w:r>
    </w:p>
    <w:p w14:paraId="688A00E4" w14:textId="77777777" w:rsidR="00D16E87" w:rsidRPr="00D16E87" w:rsidRDefault="00D16E87" w:rsidP="00D16E87">
      <w:pPr>
        <w:autoSpaceDE w:val="0"/>
        <w:autoSpaceDN w:val="0"/>
        <w:adjustRightInd w:val="0"/>
        <w:spacing w:after="298"/>
        <w:rPr>
          <w:rFonts w:cstheme="minorHAnsi"/>
          <w:b/>
          <w:bCs/>
          <w:color w:val="000000"/>
          <w:kern w:val="0"/>
          <w:sz w:val="36"/>
          <w:szCs w:val="36"/>
          <w:u w:color="000000"/>
        </w:rPr>
      </w:pPr>
      <w:r w:rsidRPr="00D16E87">
        <w:rPr>
          <w:rFonts w:cstheme="minorHAnsi"/>
          <w:b/>
          <w:bCs/>
          <w:color w:val="000000"/>
          <w:kern w:val="0"/>
          <w:sz w:val="36"/>
          <w:szCs w:val="36"/>
          <w:u w:color="000000"/>
        </w:rPr>
        <w:t>When it starts to bind</w:t>
      </w:r>
    </w:p>
    <w:p w14:paraId="1151226B"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My central expectation is that the logic term becomes the largest single factor in the Nvidia–Huawei compute gap around 2028, roughly in line with Epoch's own trajectory, and stays dominant into the mid-2030s because nothing in China's current programme addresses it. I hold that with moderate confidence. Imported lithography is unlikely to cap China's advanced-wafer volume before 2030, and would do so only if China both reaches something close to its 500,000-wafer ambition and holds fewer uncounted tools than seems likely. The part I am least sure of is the exchange rate between silicon and compute, how efficiently China can substitute area for density — and that is where I would look first if this estimate turns out wrong.</w:t>
      </w:r>
    </w:p>
    <w:p w14:paraId="70A21273"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Note what that answer is not. It is not that one constraint replaces another on a particular date. Memory quantity still binds in absolute terms in 2028, with a 7.3x wafer-start gap in Epoch's estimate. The handoff is a change in which factor dominates, not a moment when one constraint switches off.</w:t>
      </w:r>
    </w:p>
    <w:p w14:paraId="14AAACBB"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ASML sold China the capacity to make many chips. What it could not sell, and what China cannot yet build, is the capacity to make them dense. The first is a stock; the second is a rate, and only one of them compounds.</w:t>
      </w:r>
    </w:p>
    <w:p w14:paraId="72B14B6F" w14:textId="77777777" w:rsidR="00D16E87" w:rsidRPr="00D16E87" w:rsidRDefault="00D16E87" w:rsidP="00D16E87">
      <w:pPr>
        <w:autoSpaceDE w:val="0"/>
        <w:autoSpaceDN w:val="0"/>
        <w:adjustRightInd w:val="0"/>
        <w:rPr>
          <w:rFonts w:cstheme="minorHAnsi"/>
          <w:b/>
          <w:bCs/>
          <w:color w:val="000000"/>
          <w:kern w:val="0"/>
          <w:sz w:val="32"/>
          <w:szCs w:val="32"/>
          <w:u w:color="000000"/>
        </w:rPr>
      </w:pPr>
      <w:r w:rsidRPr="00D16E87">
        <w:rPr>
          <w:rFonts w:cstheme="minorHAnsi"/>
          <w:b/>
          <w:bCs/>
          <w:color w:val="000000"/>
          <w:kern w:val="0"/>
          <w:sz w:val="32"/>
          <w:szCs w:val="32"/>
          <w:u w:color="000000"/>
        </w:rPr>
        <w:t xml:space="preserve">What would change my mind: </w:t>
      </w:r>
    </w:p>
    <w:p w14:paraId="16A7E8CC" w14:textId="77777777" w:rsidR="00D16E87" w:rsidRPr="00D16E87" w:rsidRDefault="00D16E87" w:rsidP="00D16E87">
      <w:pPr>
        <w:autoSpaceDE w:val="0"/>
        <w:autoSpaceDN w:val="0"/>
        <w:adjustRightInd w:val="0"/>
        <w:spacing w:after="240"/>
        <w:rPr>
          <w:rFonts w:cstheme="minorHAnsi"/>
          <w:color w:val="000000"/>
          <w:kern w:val="0"/>
          <w:u w:color="000000"/>
        </w:rPr>
      </w:pPr>
    </w:p>
    <w:p w14:paraId="429A9D2C"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lastRenderedPageBreak/>
        <w:t xml:space="preserve">Allocation data: </w:t>
      </w:r>
      <w:r w:rsidRPr="00D16E87">
        <w:rPr>
          <w:rFonts w:cstheme="minorHAnsi"/>
          <w:color w:val="000000"/>
          <w:kern w:val="0"/>
          <w:u w:color="000000"/>
        </w:rPr>
        <w:t>One assumption paramount to my findings is the distribution of China’s stock to SMIC. A credible accounting of which fabs hold the immersion base would confirm the headroom</w:t>
      </w:r>
    </w:p>
    <w:p w14:paraId="408C6A44"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 xml:space="preserve">Better yield or die-area figures for SMIC’s 7nm-class process: </w:t>
      </w:r>
      <w:r w:rsidRPr="00D16E87">
        <w:rPr>
          <w:rFonts w:cstheme="minorHAnsi"/>
          <w:color w:val="000000"/>
          <w:kern w:val="0"/>
          <w:u w:color="000000"/>
        </w:rPr>
        <w:t xml:space="preserve">The conversation above turns almost entirely on these, and both are currently estimates; precise figures could significantly adjust the figures presented. </w:t>
      </w:r>
    </w:p>
    <w:p w14:paraId="65D57EE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 xml:space="preserve">Evidence on Huawei’s packaging: </w:t>
      </w:r>
      <w:r w:rsidRPr="00D16E87">
        <w:rPr>
          <w:rFonts w:cstheme="minorHAnsi"/>
          <w:color w:val="000000"/>
          <w:kern w:val="0"/>
          <w:u w:color="000000"/>
        </w:rPr>
        <w:t xml:space="preserve">If 3D stacking substantially closes the logic gap without denser transistors, the tax falls, and this piece overstates the constraint. </w:t>
      </w:r>
    </w:p>
    <w:p w14:paraId="4A7259B4"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 xml:space="preserve">Servicing restrictions taking effect: </w:t>
      </w:r>
      <w:r w:rsidRPr="00D16E87">
        <w:rPr>
          <w:rFonts w:cstheme="minorHAnsi"/>
          <w:color w:val="000000"/>
          <w:kern w:val="0"/>
          <w:u w:color="000000"/>
        </w:rPr>
        <w:t>This could convert a permanent installed base into a decaying one.</w:t>
      </w:r>
    </w:p>
    <w:p w14:paraId="4F7DBBBA" w14:textId="77777777" w:rsidR="00D16E87" w:rsidRPr="00D16E87" w:rsidRDefault="00D16E87" w:rsidP="00D16E87">
      <w:pPr>
        <w:autoSpaceDE w:val="0"/>
        <w:autoSpaceDN w:val="0"/>
        <w:adjustRightInd w:val="0"/>
        <w:rPr>
          <w:rFonts w:cstheme="minorHAnsi"/>
          <w:b/>
          <w:bCs/>
          <w:color w:val="000000"/>
          <w:kern w:val="0"/>
          <w:sz w:val="36"/>
          <w:szCs w:val="36"/>
          <w:u w:color="000000"/>
        </w:rPr>
      </w:pPr>
    </w:p>
    <w:p w14:paraId="47BFA353" w14:textId="77777777" w:rsidR="00D16E87" w:rsidRPr="00D16E87" w:rsidRDefault="00D16E87" w:rsidP="00D16E87">
      <w:pPr>
        <w:autoSpaceDE w:val="0"/>
        <w:autoSpaceDN w:val="0"/>
        <w:adjustRightInd w:val="0"/>
        <w:rPr>
          <w:rFonts w:cstheme="minorHAnsi"/>
          <w:b/>
          <w:bCs/>
          <w:color w:val="000000"/>
          <w:kern w:val="0"/>
          <w:sz w:val="36"/>
          <w:szCs w:val="36"/>
          <w:u w:color="000000"/>
        </w:rPr>
      </w:pPr>
    </w:p>
    <w:p w14:paraId="1FE15AA6" w14:textId="77777777" w:rsidR="00D16E87" w:rsidRPr="00D16E87" w:rsidRDefault="00D16E87" w:rsidP="00D16E87">
      <w:pPr>
        <w:autoSpaceDE w:val="0"/>
        <w:autoSpaceDN w:val="0"/>
        <w:adjustRightInd w:val="0"/>
        <w:rPr>
          <w:rFonts w:cstheme="minorHAnsi"/>
          <w:b/>
          <w:bCs/>
          <w:color w:val="000000"/>
          <w:kern w:val="0"/>
          <w:sz w:val="36"/>
          <w:szCs w:val="36"/>
          <w:u w:color="000000"/>
        </w:rPr>
      </w:pPr>
    </w:p>
    <w:p w14:paraId="1FE83CEA" w14:textId="1DE972AF" w:rsidR="00D16E87" w:rsidRPr="00D16E87" w:rsidRDefault="00D16E87" w:rsidP="00D16E87">
      <w:pPr>
        <w:autoSpaceDE w:val="0"/>
        <w:autoSpaceDN w:val="0"/>
        <w:adjustRightInd w:val="0"/>
        <w:rPr>
          <w:rFonts w:cstheme="minorHAnsi"/>
          <w:b/>
          <w:bCs/>
          <w:color w:val="000000"/>
          <w:kern w:val="0"/>
          <w:sz w:val="36"/>
          <w:szCs w:val="36"/>
          <w:u w:color="000000"/>
        </w:rPr>
      </w:pPr>
      <w:r w:rsidRPr="00D16E87">
        <w:rPr>
          <w:rFonts w:cstheme="minorHAnsi"/>
          <w:b/>
          <w:bCs/>
          <w:color w:val="000000"/>
          <w:kern w:val="0"/>
          <w:sz w:val="36"/>
          <w:szCs w:val="36"/>
          <w:u w:color="000000"/>
        </w:rPr>
        <w:t>Postscript: Epoch's September 24 revision</w:t>
      </w:r>
    </w:p>
    <w:p w14:paraId="142EC8AD" w14:textId="77777777" w:rsidR="00D16E87" w:rsidRPr="00D16E87" w:rsidRDefault="00D16E87" w:rsidP="00D16E87">
      <w:pPr>
        <w:autoSpaceDE w:val="0"/>
        <w:autoSpaceDN w:val="0"/>
        <w:adjustRightInd w:val="0"/>
        <w:rPr>
          <w:rFonts w:cstheme="minorHAnsi"/>
          <w:color w:val="000000"/>
          <w:kern w:val="0"/>
          <w:sz w:val="36"/>
          <w:szCs w:val="36"/>
          <w:u w:color="000000"/>
        </w:rPr>
      </w:pPr>
    </w:p>
    <w:p w14:paraId="2B758D6A"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This piece was written from the version of Epoch's Huawei report published on 4 September 2026. On 24 September, after this draft was complete, Epoch revised several estimates to reflect Huawei's updated chip roadmap of 17 September. Three figures I rely on have moved.</w:t>
      </w:r>
    </w:p>
    <w:p w14:paraId="57BEDC05"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Nvidia's 2028 advantage in compute per gigabyte falls from 9.1× to 6.1×, and the total 2028 compute gap from roughly 100× to roughly 67×. The bandwidth-per-gigabyte term falls from 2.9× to 2.6×, giving a 29× bandwidth gap rather than 32×. The 2026 figures, the 73× usable-HBM gap and its fall to 11× by 2028, are unchanged, as are the 7.3× wafer-start and 1.5× yield terms.</w:t>
      </w:r>
    </w:p>
    <w:p w14:paraId="500B94B7"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Two consequences. My derived logic term becomes 6.1 ÷ 2.6 = 2.35× rather than 3.1×, so the silicon tax the imported stock must absorb is smaller than the piece states, and the headroom I calculate is correspondingly more comfortable. More importantly, my claim that the logic term becomes the largest single factor in the gap by 2028 no longer holds: at 6.1× it now sits below the 7.3× wafer-start term, and Epoch's own framing is that per-chip performance becomes a comparable constraint rather than the dominant one. The sequencing argument survives, the constraint does move from memory toward logic, and the two relieve on very different timescales, but the crossover I describe has not happened by 2028 on the revised estimates. Where it lands depends on whether Nvidia's per-chip advantage continues widening after 2028.</w:t>
      </w:r>
    </w:p>
    <w:p w14:paraId="675515B5"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color w:val="000000"/>
          <w:kern w:val="0"/>
          <w:u w:color="000000"/>
        </w:rPr>
        <w:t>The ledger, the capacity calculation and the relief-time asymmetry are unaffected, since none depends on Epoch's figures.</w:t>
      </w:r>
    </w:p>
    <w:p w14:paraId="462EA9CE" w14:textId="77777777" w:rsidR="00D16E87" w:rsidRPr="00D16E87" w:rsidRDefault="00D16E87" w:rsidP="00D16E87">
      <w:pPr>
        <w:autoSpaceDE w:val="0"/>
        <w:autoSpaceDN w:val="0"/>
        <w:adjustRightInd w:val="0"/>
        <w:rPr>
          <w:rFonts w:cstheme="minorHAnsi"/>
          <w:color w:val="000000"/>
          <w:kern w:val="0"/>
          <w:sz w:val="40"/>
          <w:szCs w:val="40"/>
          <w:u w:color="000000"/>
        </w:rPr>
      </w:pPr>
    </w:p>
    <w:p w14:paraId="073510A4" w14:textId="77777777" w:rsidR="00D16E87" w:rsidRPr="00D16E87" w:rsidRDefault="00D16E87" w:rsidP="00D16E87">
      <w:pPr>
        <w:autoSpaceDE w:val="0"/>
        <w:autoSpaceDN w:val="0"/>
        <w:adjustRightInd w:val="0"/>
        <w:rPr>
          <w:rFonts w:cstheme="minorHAnsi"/>
          <w:color w:val="000000"/>
          <w:kern w:val="0"/>
          <w:sz w:val="40"/>
          <w:szCs w:val="40"/>
          <w:u w:color="000000"/>
        </w:rPr>
      </w:pPr>
      <w:r w:rsidRPr="00D16E87">
        <w:rPr>
          <w:rFonts w:cstheme="minorHAnsi"/>
          <w:color w:val="000000"/>
          <w:kern w:val="0"/>
          <w:sz w:val="40"/>
          <w:szCs w:val="40"/>
          <w:u w:color="000000"/>
        </w:rPr>
        <w:lastRenderedPageBreak/>
        <w:t>Appendix</w:t>
      </w:r>
    </w:p>
    <w:p w14:paraId="19CC1E06" w14:textId="77777777" w:rsidR="00D16E87" w:rsidRPr="00D16E87" w:rsidRDefault="00D16E87" w:rsidP="00D16E87">
      <w:pPr>
        <w:autoSpaceDE w:val="0"/>
        <w:autoSpaceDN w:val="0"/>
        <w:adjustRightInd w:val="0"/>
        <w:rPr>
          <w:rFonts w:cstheme="minorHAnsi"/>
          <w:color w:val="000000"/>
          <w:kern w:val="0"/>
          <w:sz w:val="22"/>
          <w:szCs w:val="22"/>
          <w:u w:color="000000"/>
        </w:rPr>
      </w:pPr>
    </w:p>
    <w:p w14:paraId="46A899BB"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 xml:space="preserve">1. </w:t>
      </w:r>
      <w:r w:rsidRPr="00D16E87">
        <w:rPr>
          <w:rFonts w:cstheme="minorHAnsi"/>
          <w:color w:val="000000"/>
          <w:kern w:val="0"/>
          <w:u w:color="000000"/>
        </w:rPr>
        <w:t xml:space="preserve">Huawei under 4% of Nvidia's AI compute in 2026; usable-HBM gap 73× (2026) falling to 11× (2028); compute per GB 2.7× (2026) rising to 6.1× (2028, revised from 9.1×); total 2028 compute gap ~67× (revised from ~100×); bandwidth per GB 2.6× and bandwidth gap 29× in 2028; 2026 decomposition 32× wafer starts × 2.3× yielded GB × 2.7× compute per GB = 194×. Venkat Somala, "Will Huawei catch up to Nvidia by 2030?", Epoch AI, 4 September 2026, updated 24 September 2026. </w:t>
      </w:r>
      <w:hyperlink r:id="rId4" w:history="1">
        <w:r w:rsidRPr="00D16E87">
          <w:rPr>
            <w:rFonts w:cstheme="minorHAnsi"/>
            <w:color w:val="0000E9"/>
            <w:kern w:val="0"/>
            <w:u w:val="single" w:color="0000E9"/>
          </w:rPr>
          <w:t>https://epoch.ai/publications/huaweis-roadmap-to-2031</w:t>
        </w:r>
      </w:hyperlink>
      <w:r w:rsidRPr="00D16E87">
        <w:rPr>
          <w:rFonts w:cstheme="minorHAnsi"/>
          <w:color w:val="000000"/>
          <w:kern w:val="0"/>
          <w:u w:color="000000"/>
        </w:rPr>
        <w:t xml:space="preserve">. Model and input parameters: </w:t>
      </w:r>
      <w:hyperlink r:id="rId5" w:history="1">
        <w:r w:rsidRPr="00D16E87">
          <w:rPr>
            <w:rFonts w:cstheme="minorHAnsi"/>
            <w:color w:val="0000E9"/>
            <w:kern w:val="0"/>
            <w:u w:val="single" w:color="0000E9"/>
          </w:rPr>
          <w:t>https://colab.research.google.com/drive/1WG0FwqkVb84NdQEJ3sJvIZXoEHI2jvXx</w:t>
        </w:r>
      </w:hyperlink>
      <w:r w:rsidRPr="00D16E87">
        <w:rPr>
          <w:rFonts w:cstheme="minorHAnsi"/>
          <w:color w:val="000000"/>
          <w:kern w:val="0"/>
          <w:u w:color="000000"/>
        </w:rPr>
        <w:t xml:space="preserve"> and the input sheet linked in the report's footnote 7.</w:t>
      </w:r>
    </w:p>
    <w:p w14:paraId="4D1E74B2"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2.</w:t>
      </w:r>
      <w:r w:rsidRPr="00D16E87">
        <w:rPr>
          <w:rFonts w:cstheme="minorHAnsi"/>
          <w:color w:val="000000"/>
          <w:kern w:val="0"/>
          <w:u w:color="000000"/>
        </w:rPr>
        <w:t xml:space="preserve"> CXMT HBM wafer starts rising from 5,000/month at end-2025 to 30,000 (2026), 55,000 (2027) and 100,000 (2028); Huawei allocated 75% of CXMT output in 2026 falling to 65% in 2028. </w:t>
      </w:r>
      <w:proofErr w:type="spellStart"/>
      <w:r w:rsidRPr="00D16E87">
        <w:rPr>
          <w:rFonts w:cstheme="minorHAnsi"/>
          <w:color w:val="000000"/>
          <w:kern w:val="0"/>
          <w:u w:color="000000"/>
        </w:rPr>
        <w:t>SemiAnalysis</w:t>
      </w:r>
      <w:proofErr w:type="spellEnd"/>
      <w:r w:rsidRPr="00D16E87">
        <w:rPr>
          <w:rFonts w:cstheme="minorHAnsi"/>
          <w:color w:val="000000"/>
          <w:kern w:val="0"/>
          <w:u w:color="000000"/>
        </w:rPr>
        <w:t xml:space="preserve">, "China's CXMT is set to challenge DRAM", cited in note 1. </w:t>
      </w:r>
      <w:hyperlink r:id="rId6" w:history="1">
        <w:r w:rsidRPr="00D16E87">
          <w:rPr>
            <w:rFonts w:cstheme="minorHAnsi"/>
            <w:color w:val="0000E9"/>
            <w:kern w:val="0"/>
            <w:u w:val="single" w:color="0000E9"/>
          </w:rPr>
          <w:t>https://newsletter.semianalysis.com/p/chinas-cxmt-is-set-to-challenge-dram</w:t>
        </w:r>
      </w:hyperlink>
    </w:p>
    <w:p w14:paraId="246FC1BC"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3.</w:t>
      </w:r>
      <w:r w:rsidRPr="00D16E87">
        <w:rPr>
          <w:rFonts w:cstheme="minorHAnsi"/>
          <w:color w:val="000000"/>
          <w:kern w:val="0"/>
          <w:u w:color="000000"/>
        </w:rPr>
        <w:t xml:space="preserve"> SMIC's leading node in mass production is N+3 at 113 </w:t>
      </w:r>
      <w:proofErr w:type="spellStart"/>
      <w:r w:rsidRPr="00D16E87">
        <w:rPr>
          <w:rFonts w:cstheme="minorHAnsi"/>
          <w:color w:val="000000"/>
          <w:kern w:val="0"/>
          <w:u w:color="000000"/>
        </w:rPr>
        <w:t>MTr</w:t>
      </w:r>
      <w:proofErr w:type="spellEnd"/>
      <w:r w:rsidRPr="00D16E87">
        <w:rPr>
          <w:rFonts w:cstheme="minorHAnsi"/>
          <w:color w:val="000000"/>
          <w:kern w:val="0"/>
          <w:u w:color="000000"/>
        </w:rPr>
        <w:t xml:space="preserve">/mm², against TSMC's N3P at 224 </w:t>
      </w:r>
      <w:proofErr w:type="spellStart"/>
      <w:r w:rsidRPr="00D16E87">
        <w:rPr>
          <w:rFonts w:cstheme="minorHAnsi"/>
          <w:color w:val="000000"/>
          <w:kern w:val="0"/>
          <w:u w:color="000000"/>
        </w:rPr>
        <w:t>MTr</w:t>
      </w:r>
      <w:proofErr w:type="spellEnd"/>
      <w:r w:rsidRPr="00D16E87">
        <w:rPr>
          <w:rFonts w:cstheme="minorHAnsi"/>
          <w:color w:val="000000"/>
          <w:kern w:val="0"/>
          <w:u w:color="000000"/>
        </w:rPr>
        <w:t xml:space="preserve">/mm² — roughly 2×, a gap Epoch expects to persist through 2030. SMIC unable to print denser than a 5 nm-equivalent process until at least the end of the decade; scaling further with DUV would require increasingly complex </w:t>
      </w:r>
      <w:proofErr w:type="spellStart"/>
      <w:r w:rsidRPr="00D16E87">
        <w:rPr>
          <w:rFonts w:cstheme="minorHAnsi"/>
          <w:color w:val="000000"/>
          <w:kern w:val="0"/>
          <w:u w:color="000000"/>
        </w:rPr>
        <w:t>multipatterning</w:t>
      </w:r>
      <w:proofErr w:type="spellEnd"/>
      <w:r w:rsidRPr="00D16E87">
        <w:rPr>
          <w:rFonts w:cstheme="minorHAnsi"/>
          <w:color w:val="000000"/>
          <w:kern w:val="0"/>
          <w:u w:color="000000"/>
        </w:rPr>
        <w:t xml:space="preserve">, lowering throughput and raising cost and process risk. Note 1, citing </w:t>
      </w:r>
      <w:proofErr w:type="spellStart"/>
      <w:r w:rsidRPr="00D16E87">
        <w:rPr>
          <w:rFonts w:cstheme="minorHAnsi"/>
          <w:color w:val="000000"/>
          <w:kern w:val="0"/>
          <w:u w:color="000000"/>
        </w:rPr>
        <w:t>SemiAnalysis</w:t>
      </w:r>
      <w:proofErr w:type="spellEnd"/>
      <w:r w:rsidRPr="00D16E87">
        <w:rPr>
          <w:rFonts w:cstheme="minorHAnsi"/>
          <w:color w:val="000000"/>
          <w:kern w:val="0"/>
          <w:u w:color="000000"/>
        </w:rPr>
        <w:t xml:space="preserve">, "Steel: SMIC N3 teardown". </w:t>
      </w:r>
      <w:hyperlink r:id="rId7" w:history="1">
        <w:r w:rsidRPr="00D16E87">
          <w:rPr>
            <w:rFonts w:cstheme="minorHAnsi"/>
            <w:color w:val="0000E9"/>
            <w:kern w:val="0"/>
            <w:u w:val="single" w:color="0000E9"/>
          </w:rPr>
          <w:t>https://newsletter.semianalysis.com/p/steel-smic-n3-teardown</w:t>
        </w:r>
      </w:hyperlink>
    </w:p>
    <w:p w14:paraId="6E680071"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4.</w:t>
      </w:r>
      <w:r w:rsidRPr="00D16E87">
        <w:rPr>
          <w:rFonts w:cstheme="minorHAnsi"/>
          <w:color w:val="000000"/>
          <w:kern w:val="0"/>
          <w:u w:color="000000"/>
        </w:rPr>
        <w:t xml:space="preserve"> </w:t>
      </w:r>
      <w:proofErr w:type="spellStart"/>
      <w:r w:rsidRPr="00D16E87">
        <w:rPr>
          <w:rFonts w:cstheme="minorHAnsi"/>
          <w:color w:val="000000"/>
          <w:kern w:val="0"/>
          <w:u w:color="000000"/>
        </w:rPr>
        <w:t>LogicFolding</w:t>
      </w:r>
      <w:proofErr w:type="spellEnd"/>
      <w:r w:rsidRPr="00D16E87">
        <w:rPr>
          <w:rFonts w:cstheme="minorHAnsi"/>
          <w:color w:val="000000"/>
          <w:kern w:val="0"/>
          <w:u w:color="000000"/>
        </w:rPr>
        <w:t>: Huawei's vertical logic-stacking programme. First applied to Kirin phone chips from 2026; no Ascend chip before 2030 uses it; the first is the Ascend 990. Note 1.</w:t>
      </w:r>
    </w:p>
    <w:p w14:paraId="26E5E344"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5.</w:t>
      </w:r>
      <w:r w:rsidRPr="00D16E87">
        <w:rPr>
          <w:rFonts w:cstheme="minorHAnsi"/>
          <w:color w:val="000000"/>
          <w:kern w:val="0"/>
          <w:u w:color="000000"/>
        </w:rPr>
        <w:t xml:space="preserve"> Immersion units recognised in sales: 81 (2021), 81 (2022), 125 (2023), 129 (2024). ASML Form 20-F, "net system sales in units" by technology. FY2024 filing: </w:t>
      </w:r>
      <w:hyperlink r:id="rId8" w:history="1">
        <w:r w:rsidRPr="00D16E87">
          <w:rPr>
            <w:rFonts w:cstheme="minorHAnsi"/>
            <w:color w:val="0000E9"/>
            <w:kern w:val="0"/>
            <w:u w:val="single" w:color="0000E9"/>
          </w:rPr>
          <w:t>https://www.sec.gov/Archives/edgar/data/0000937966/000093796625000009/asml-20241231.htm</w:t>
        </w:r>
      </w:hyperlink>
      <w:r w:rsidRPr="00D16E87">
        <w:rPr>
          <w:rFonts w:cstheme="minorHAnsi"/>
          <w:color w:val="000000"/>
          <w:kern w:val="0"/>
          <w:u w:color="000000"/>
        </w:rPr>
        <w:t xml:space="preserve"> Filing index: </w:t>
      </w:r>
      <w:hyperlink r:id="rId9" w:history="1">
        <w:r w:rsidRPr="00D16E87">
          <w:rPr>
            <w:rFonts w:cstheme="minorHAnsi"/>
            <w:color w:val="0000E9"/>
            <w:kern w:val="0"/>
            <w:u w:val="single" w:color="0000E9"/>
          </w:rPr>
          <w:t>https://www.sec.gov/Archives/edgar/data/937966/000093796625000009/0000937966-25-000009-index.htm</w:t>
        </w:r>
      </w:hyperlink>
      <w:r w:rsidRPr="00D16E87">
        <w:rPr>
          <w:rFonts w:cstheme="minorHAnsi"/>
          <w:color w:val="000000"/>
          <w:kern w:val="0"/>
          <w:u w:color="000000"/>
        </w:rPr>
        <w:t xml:space="preserve"> Earlier years via EDGAR, CIK 937966.</w:t>
      </w:r>
    </w:p>
    <w:p w14:paraId="5C4C770D"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6.</w:t>
      </w:r>
      <w:r w:rsidRPr="00D16E87">
        <w:rPr>
          <w:rFonts w:cstheme="minorHAnsi"/>
          <w:color w:val="000000"/>
          <w:kern w:val="0"/>
          <w:u w:color="000000"/>
        </w:rPr>
        <w:t xml:space="preserve"> 2025: DUV system sales of €12.0 billion, revenue recognised on 279 systems of which 47% immersion (giving ≈131); 48 EUV systems; total net sales €32.7 billion; lithography systems sold 309 / 345 / 449 / 418 / 327 for 2021–2025. ASML Q4 2025 investor presentation, 28 January 2026. </w:t>
      </w:r>
      <w:hyperlink r:id="rId10" w:history="1">
        <w:r w:rsidRPr="00D16E87">
          <w:rPr>
            <w:rFonts w:cstheme="minorHAnsi"/>
            <w:color w:val="0000E9"/>
            <w:kern w:val="0"/>
            <w:u w:val="single" w:color="0000E9"/>
          </w:rPr>
          <w:t>https://ourbrand.asml.com/m/3136300aa4999bc1/original/2026_01_28_Presentation-Investor-Relations-Q4-2025.pdf</w:t>
        </w:r>
      </w:hyperlink>
      <w:r w:rsidRPr="00D16E87">
        <w:rPr>
          <w:rFonts w:cstheme="minorHAnsi"/>
          <w:color w:val="000000"/>
          <w:kern w:val="0"/>
          <w:u w:color="000000"/>
        </w:rPr>
        <w:t xml:space="preserve"> Press release: </w:t>
      </w:r>
      <w:hyperlink r:id="rId11" w:history="1">
        <w:r w:rsidRPr="00D16E87">
          <w:rPr>
            <w:rFonts w:cstheme="minorHAnsi"/>
            <w:color w:val="0000E9"/>
            <w:kern w:val="0"/>
            <w:u w:val="single" w:color="0000E9"/>
          </w:rPr>
          <w:t>https://www.asml.com/en/news/press-releases/2026/q4-2025-financial-results</w:t>
        </w:r>
      </w:hyperlink>
    </w:p>
    <w:p w14:paraId="7C801545" w14:textId="77777777" w:rsidR="00D16E87" w:rsidRPr="00D16E87" w:rsidRDefault="00D16E87" w:rsidP="00D16E87">
      <w:pPr>
        <w:autoSpaceDE w:val="0"/>
        <w:autoSpaceDN w:val="0"/>
        <w:adjustRightInd w:val="0"/>
        <w:spacing w:after="240"/>
        <w:rPr>
          <w:rFonts w:cstheme="minorHAnsi"/>
          <w:color w:val="000000"/>
          <w:kern w:val="0"/>
          <w:u w:color="000000"/>
        </w:rPr>
      </w:pPr>
      <w:r w:rsidRPr="00D16E87">
        <w:rPr>
          <w:rFonts w:cstheme="minorHAnsi"/>
          <w:b/>
          <w:bCs/>
          <w:color w:val="000000"/>
          <w:kern w:val="0"/>
          <w:u w:color="000000"/>
        </w:rPr>
        <w:t xml:space="preserve">7. </w:t>
      </w:r>
      <w:r w:rsidRPr="00D16E87">
        <w:rPr>
          <w:rFonts w:cstheme="minorHAnsi"/>
          <w:color w:val="000000"/>
          <w:kern w:val="0"/>
          <w:u w:color="000000"/>
        </w:rPr>
        <w:t xml:space="preserve">China accounted for 33% of ASML's net system sales in 2025, with 20% guided for 2026. </w:t>
      </w:r>
      <w:hyperlink r:id="rId12" w:history="1">
        <w:r w:rsidRPr="00D16E87">
          <w:rPr>
            <w:rFonts w:cstheme="minorHAnsi"/>
            <w:color w:val="0000E9"/>
            <w:kern w:val="0"/>
            <w:u w:val="single" w:color="0000E9"/>
          </w:rPr>
          <w:t>https://www.cnbc.com/2026/01/28/asml-q4-2025-earnings-report.html</w:t>
        </w:r>
      </w:hyperlink>
    </w:p>
    <w:p w14:paraId="58BCF951" w14:textId="77777777" w:rsidR="00D16E87" w:rsidRPr="00D16E87" w:rsidRDefault="00D16E87" w:rsidP="00D16E87">
      <w:pPr>
        <w:autoSpaceDE w:val="0"/>
        <w:autoSpaceDN w:val="0"/>
        <w:adjustRightInd w:val="0"/>
        <w:spacing w:after="240"/>
        <w:rPr>
          <w:rFonts w:cstheme="minorHAnsi"/>
          <w:color w:val="000000"/>
          <w:kern w:val="0"/>
          <w:u w:color="0000E9"/>
        </w:rPr>
      </w:pPr>
      <w:r w:rsidRPr="00D16E87">
        <w:rPr>
          <w:rFonts w:cstheme="minorHAnsi"/>
          <w:b/>
          <w:bCs/>
          <w:color w:val="0000E9"/>
          <w:kern w:val="0"/>
          <w:u w:val="single" w:color="0000E9"/>
        </w:rPr>
        <w:t>8</w:t>
      </w:r>
      <w:r w:rsidRPr="00D16E87">
        <w:rPr>
          <w:rFonts w:cstheme="minorHAnsi"/>
          <w:b/>
          <w:bCs/>
          <w:color w:val="000000"/>
          <w:kern w:val="0"/>
          <w:u w:color="0000E9"/>
        </w:rPr>
        <w:t>.</w:t>
      </w:r>
      <w:r w:rsidRPr="00D16E87">
        <w:rPr>
          <w:rFonts w:cstheme="minorHAnsi"/>
          <w:color w:val="000000"/>
          <w:kern w:val="0"/>
          <w:u w:color="0000E9"/>
        </w:rPr>
        <w:t xml:space="preserve"> NXT:1980Di at 275 wafers per hour, 1.35 NA, 38 nm single-exposure. </w:t>
      </w:r>
      <w:hyperlink r:id="rId13" w:history="1">
        <w:r w:rsidRPr="00D16E87">
          <w:rPr>
            <w:rFonts w:cstheme="minorHAnsi"/>
            <w:color w:val="0000E9"/>
            <w:kern w:val="0"/>
            <w:u w:val="single" w:color="0000E9"/>
          </w:rPr>
          <w:t>https://www.asml.com/en/news/press-releases/2015/asml-ships-new-twinscan-nxt-immersion-lithography-platform</w:t>
        </w:r>
      </w:hyperlink>
      <w:r w:rsidRPr="00D16E87">
        <w:rPr>
          <w:rFonts w:cstheme="minorHAnsi"/>
          <w:color w:val="000000"/>
          <w:kern w:val="0"/>
          <w:u w:color="0000E9"/>
        </w:rPr>
        <w:t xml:space="preserve"> </w:t>
      </w:r>
      <w:hyperlink r:id="rId14" w:history="1">
        <w:r w:rsidRPr="00D16E87">
          <w:rPr>
            <w:rFonts w:cstheme="minorHAnsi"/>
            <w:color w:val="0000E9"/>
            <w:kern w:val="0"/>
            <w:u w:val="single" w:color="0000E9"/>
          </w:rPr>
          <w:t>https://www.asml.com/en/products/duv-lithography-</w:t>
        </w:r>
        <w:r w:rsidRPr="00D16E87">
          <w:rPr>
            <w:rFonts w:cstheme="minorHAnsi"/>
            <w:color w:val="0000E9"/>
            <w:kern w:val="0"/>
            <w:u w:val="single" w:color="0000E9"/>
          </w:rPr>
          <w:lastRenderedPageBreak/>
          <w:t>systems/twinscan-nxt1980di</w:t>
        </w:r>
      </w:hyperlink>
      <w:r w:rsidRPr="00D16E87">
        <w:rPr>
          <w:rFonts w:cstheme="minorHAnsi"/>
          <w:color w:val="000000"/>
          <w:kern w:val="0"/>
          <w:u w:color="0000E9"/>
        </w:rPr>
        <w:t xml:space="preserve"> NXT:1980Fi at 330 </w:t>
      </w:r>
      <w:proofErr w:type="spellStart"/>
      <w:r w:rsidRPr="00D16E87">
        <w:rPr>
          <w:rFonts w:cstheme="minorHAnsi"/>
          <w:color w:val="000000"/>
          <w:kern w:val="0"/>
          <w:u w:color="0000E9"/>
        </w:rPr>
        <w:t>wph</w:t>
      </w:r>
      <w:proofErr w:type="spellEnd"/>
      <w:r w:rsidRPr="00D16E87">
        <w:rPr>
          <w:rFonts w:cstheme="minorHAnsi"/>
          <w:color w:val="000000"/>
          <w:kern w:val="0"/>
          <w:u w:color="0000E9"/>
        </w:rPr>
        <w:t xml:space="preserve">: </w:t>
      </w:r>
      <w:hyperlink r:id="rId15" w:history="1">
        <w:r w:rsidRPr="00D16E87">
          <w:rPr>
            <w:rFonts w:cstheme="minorHAnsi"/>
            <w:color w:val="0000E9"/>
            <w:kern w:val="0"/>
            <w:u w:val="single" w:color="0000E9"/>
          </w:rPr>
          <w:t>https://www.asml.com/en/products/duv-lithography-systems/twinscan-nxt1980fi</w:t>
        </w:r>
      </w:hyperlink>
    </w:p>
    <w:p w14:paraId="64B57F00" w14:textId="77777777" w:rsidR="00D16E87" w:rsidRPr="00D16E87" w:rsidRDefault="00D16E87" w:rsidP="00D16E87">
      <w:pPr>
        <w:autoSpaceDE w:val="0"/>
        <w:autoSpaceDN w:val="0"/>
        <w:adjustRightInd w:val="0"/>
        <w:spacing w:after="240"/>
        <w:rPr>
          <w:rFonts w:cstheme="minorHAnsi"/>
          <w:color w:val="000000"/>
          <w:kern w:val="0"/>
          <w:u w:color="0000E9"/>
        </w:rPr>
      </w:pPr>
      <w:r w:rsidRPr="00D16E87">
        <w:rPr>
          <w:rFonts w:cstheme="minorHAnsi"/>
          <w:b/>
          <w:bCs/>
          <w:color w:val="000000"/>
          <w:kern w:val="0"/>
          <w:u w:color="0000E9"/>
        </w:rPr>
        <w:t>9.</w:t>
      </w:r>
      <w:r w:rsidRPr="00D16E87">
        <w:rPr>
          <w:rFonts w:cstheme="minorHAnsi"/>
          <w:color w:val="000000"/>
          <w:kern w:val="0"/>
          <w:u w:color="0000E9"/>
        </w:rPr>
        <w:t xml:space="preserve"> Immersion portfolio ladder (overlay and throughput by model), installed base above 6,000 systems, product life beyond twenty years, worldwide wafer exposures 525M (2024) rising above 900M (2030). ASML Investor Day, 14 November 2024, SEC exhibit 99.5. </w:t>
      </w:r>
      <w:hyperlink r:id="rId16" w:history="1">
        <w:r w:rsidRPr="00D16E87">
          <w:rPr>
            <w:rFonts w:cstheme="minorHAnsi"/>
            <w:color w:val="0000E9"/>
            <w:kern w:val="0"/>
            <w:u w:val="single" w:color="0000E9"/>
          </w:rPr>
          <w:t>https://www.sec.gov/Archives/edgar/data/937966/000093796624000026/exhibit995.htm</w:t>
        </w:r>
      </w:hyperlink>
    </w:p>
    <w:p w14:paraId="21D61664" w14:textId="77777777" w:rsidR="00D16E87" w:rsidRPr="00D16E87" w:rsidRDefault="00D16E87" w:rsidP="00D16E87">
      <w:pPr>
        <w:autoSpaceDE w:val="0"/>
        <w:autoSpaceDN w:val="0"/>
        <w:adjustRightInd w:val="0"/>
        <w:spacing w:after="240"/>
        <w:rPr>
          <w:rFonts w:cstheme="minorHAnsi"/>
          <w:color w:val="000000"/>
          <w:kern w:val="0"/>
          <w:u w:color="0000E9"/>
        </w:rPr>
      </w:pPr>
      <w:r w:rsidRPr="00D16E87">
        <w:rPr>
          <w:rFonts w:cstheme="minorHAnsi"/>
          <w:b/>
          <w:bCs/>
          <w:color w:val="000000"/>
          <w:kern w:val="0"/>
          <w:u w:color="0000E9"/>
        </w:rPr>
        <w:t>10.</w:t>
      </w:r>
      <w:r w:rsidRPr="00D16E87">
        <w:rPr>
          <w:rFonts w:cstheme="minorHAnsi"/>
          <w:color w:val="000000"/>
          <w:kern w:val="0"/>
          <w:u w:color="0000E9"/>
        </w:rPr>
        <w:t xml:space="preserve"> China's share of ASML immersion units — 26% (FY2022), 45% (FY2023), 70% (FY2024); 59% of all lithography units against 36% of revenue in 2024; no EUV sales to China 2022–24; NXT:2100i and 2050i orders falling to zero while NXT:1980i orders nearly tripled; the 1980i surge made purportedly for foundational and legacy fabs; ASML's statement that use at 3–5 nm would require advanced deposition and etch tools and would produce a "yield that would likely be economically unjustifiable". Select Committee on the Chinese Communist Party, US House of Representatives, </w:t>
      </w:r>
      <w:r w:rsidRPr="00D16E87">
        <w:rPr>
          <w:rFonts w:cstheme="minorHAnsi"/>
          <w:i/>
          <w:iCs/>
          <w:color w:val="000000"/>
          <w:kern w:val="0"/>
          <w:u w:color="0000E9"/>
        </w:rPr>
        <w:t>Selling the Forges of the Future</w:t>
      </w:r>
      <w:r w:rsidRPr="00D16E87">
        <w:rPr>
          <w:rFonts w:cstheme="minorHAnsi"/>
          <w:color w:val="000000"/>
          <w:kern w:val="0"/>
          <w:u w:color="0000E9"/>
        </w:rPr>
        <w:t xml:space="preserve">, October 2025, Table 8 and accompanying text. </w:t>
      </w:r>
      <w:hyperlink r:id="rId17" w:history="1">
        <w:r w:rsidRPr="00D16E87">
          <w:rPr>
            <w:rFonts w:cstheme="minorHAnsi"/>
            <w:color w:val="0000E9"/>
            <w:kern w:val="0"/>
            <w:u w:val="single" w:color="0000E9"/>
          </w:rPr>
          <w:t>https://chinaselectcommittee.house.gov/sites/evo-subsites/selectcommitteeontheccp.house.gov/files/evo-media-document/selling-the-forges-of-the-future.pdf</w:t>
        </w:r>
      </w:hyperlink>
    </w:p>
    <w:p w14:paraId="2D25C9AE" w14:textId="77777777" w:rsidR="00D16E87" w:rsidRPr="00D16E87" w:rsidRDefault="00D16E87" w:rsidP="00D16E87">
      <w:pPr>
        <w:autoSpaceDE w:val="0"/>
        <w:autoSpaceDN w:val="0"/>
        <w:adjustRightInd w:val="0"/>
        <w:spacing w:after="240"/>
        <w:rPr>
          <w:rFonts w:cstheme="minorHAnsi"/>
          <w:color w:val="000000"/>
          <w:kern w:val="0"/>
          <w:u w:color="0000E9"/>
        </w:rPr>
      </w:pPr>
      <w:r w:rsidRPr="00D16E87">
        <w:rPr>
          <w:rFonts w:cstheme="minorHAnsi"/>
          <w:b/>
          <w:bCs/>
          <w:color w:val="000000"/>
          <w:kern w:val="0"/>
          <w:u w:color="0000E9"/>
        </w:rPr>
        <w:t>11.</w:t>
      </w:r>
      <w:r w:rsidRPr="00D16E87">
        <w:rPr>
          <w:rFonts w:cstheme="minorHAnsi"/>
          <w:color w:val="000000"/>
          <w:kern w:val="0"/>
          <w:u w:color="0000E9"/>
        </w:rPr>
        <w:t xml:space="preserve"> SMIC's volume purchase agreement with ASML running through 2020 and extended into 2021. Letter from members of the House Foreign Affairs Committee to Secretary Raimondo, 18 March 2021. </w:t>
      </w:r>
      <w:hyperlink r:id="rId18" w:history="1">
        <w:r w:rsidRPr="00D16E87">
          <w:rPr>
            <w:rFonts w:cstheme="minorHAnsi"/>
            <w:color w:val="000000"/>
            <w:kern w:val="0"/>
            <w:u w:val="single" w:color="0000E9"/>
          </w:rPr>
          <w:t>https://www.reuters.com/article/business/asml-extends-sales-deal-with-chinese-chipmaker-smic-to-end-of-2021-idUSKBN2AV1S5/</w:t>
        </w:r>
      </w:hyperlink>
    </w:p>
    <w:p w14:paraId="1DB6D967" w14:textId="77777777" w:rsidR="00D16E87" w:rsidRPr="00D16E87" w:rsidRDefault="00D16E87" w:rsidP="00D16E87">
      <w:pPr>
        <w:autoSpaceDE w:val="0"/>
        <w:autoSpaceDN w:val="0"/>
        <w:adjustRightInd w:val="0"/>
        <w:spacing w:after="240"/>
        <w:rPr>
          <w:rFonts w:cstheme="minorHAnsi"/>
          <w:color w:val="000000"/>
          <w:kern w:val="0"/>
          <w:u w:color="0000E9"/>
        </w:rPr>
      </w:pPr>
      <w:r w:rsidRPr="00D16E87">
        <w:rPr>
          <w:rFonts w:cstheme="minorHAnsi"/>
          <w:b/>
          <w:bCs/>
          <w:color w:val="000000"/>
          <w:kern w:val="0"/>
          <w:u w:color="0000E9"/>
        </w:rPr>
        <w:t>12.</w:t>
      </w:r>
      <w:r w:rsidRPr="00D16E87">
        <w:rPr>
          <w:rFonts w:cstheme="minorHAnsi"/>
          <w:color w:val="000000"/>
          <w:kern w:val="0"/>
          <w:u w:color="0000E9"/>
        </w:rPr>
        <w:t xml:space="preserve"> A 7 nm flow at 34 immersion lithography steps against 9 with EUV, both attributed to ASML. </w:t>
      </w:r>
      <w:hyperlink r:id="rId19" w:history="1">
        <w:r w:rsidRPr="00D16E87">
          <w:rPr>
            <w:rFonts w:cstheme="minorHAnsi"/>
            <w:color w:val="0000E9"/>
            <w:kern w:val="0"/>
            <w:u w:val="single" w:color="0000E9"/>
          </w:rPr>
          <w:t>https://semiengineering.com/7nm-lithography-choices/</w:t>
        </w:r>
      </w:hyperlink>
      <w:r w:rsidRPr="00D16E87">
        <w:rPr>
          <w:rFonts w:cstheme="minorHAnsi"/>
          <w:color w:val="000000"/>
          <w:kern w:val="0"/>
          <w:u w:color="0000E9"/>
        </w:rPr>
        <w:t xml:space="preserve"> Corroborating: EUV trimming 9 to 12 steps against 34 with 193i. </w:t>
      </w:r>
      <w:hyperlink r:id="rId20" w:history="1">
        <w:r w:rsidRPr="00D16E87">
          <w:rPr>
            <w:rFonts w:cstheme="minorHAnsi"/>
            <w:color w:val="0000E9"/>
            <w:kern w:val="0"/>
            <w:u w:val="single" w:color="0000E9"/>
          </w:rPr>
          <w:t>https://semiengineering.com/multi-patterning-problems-grow/</w:t>
        </w:r>
      </w:hyperlink>
    </w:p>
    <w:p w14:paraId="0ABEF8F2" w14:textId="77777777" w:rsidR="00D16E87" w:rsidRPr="00D16E87" w:rsidRDefault="00D16E87" w:rsidP="00D16E87">
      <w:pPr>
        <w:autoSpaceDE w:val="0"/>
        <w:autoSpaceDN w:val="0"/>
        <w:adjustRightInd w:val="0"/>
        <w:spacing w:after="240"/>
        <w:rPr>
          <w:rFonts w:cstheme="minorHAnsi"/>
          <w:color w:val="000000"/>
          <w:kern w:val="0"/>
          <w:u w:color="0000E9"/>
        </w:rPr>
      </w:pPr>
      <w:r w:rsidRPr="00D16E87">
        <w:rPr>
          <w:rFonts w:cstheme="minorHAnsi"/>
          <w:b/>
          <w:bCs/>
          <w:color w:val="000000"/>
          <w:kern w:val="0"/>
          <w:u w:color="0000E9"/>
        </w:rPr>
        <w:t>13.</w:t>
      </w:r>
      <w:r w:rsidRPr="00D16E87">
        <w:rPr>
          <w:rFonts w:cstheme="minorHAnsi"/>
          <w:color w:val="000000"/>
          <w:kern w:val="0"/>
          <w:u w:color="0000E9"/>
        </w:rPr>
        <w:t xml:space="preserve"> Total mask count of 80 to 85 for a 7 nm process without EUV. Kelvin Low, Samsung, in "Why EUV Is So Difficult". </w:t>
      </w:r>
      <w:hyperlink r:id="rId21" w:history="1">
        <w:r w:rsidRPr="00D16E87">
          <w:rPr>
            <w:rFonts w:cstheme="minorHAnsi"/>
            <w:color w:val="0000E9"/>
            <w:kern w:val="0"/>
            <w:u w:val="single" w:color="0000E9"/>
          </w:rPr>
          <w:t>https://semiengineering.com/why-euv-is-so-difficult</w:t>
        </w:r>
      </w:hyperlink>
      <w:r w:rsidRPr="00D16E87">
        <w:rPr>
          <w:rFonts w:cstheme="minorHAnsi"/>
          <w:color w:val="000000"/>
          <w:kern w:val="0"/>
          <w:u w:color="0000E9"/>
        </w:rPr>
        <w:t xml:space="preserve"> </w:t>
      </w:r>
    </w:p>
    <w:p w14:paraId="5B611C0D" w14:textId="77777777" w:rsidR="00D16E87" w:rsidRPr="00D16E87" w:rsidRDefault="00D16E87" w:rsidP="00D16E87">
      <w:pPr>
        <w:autoSpaceDE w:val="0"/>
        <w:autoSpaceDN w:val="0"/>
        <w:adjustRightInd w:val="0"/>
        <w:spacing w:after="240"/>
        <w:rPr>
          <w:rFonts w:cstheme="minorHAnsi"/>
          <w:color w:val="000000"/>
          <w:kern w:val="0"/>
          <w:u w:color="0000E9"/>
        </w:rPr>
      </w:pPr>
      <w:r w:rsidRPr="00D16E87">
        <w:rPr>
          <w:rFonts w:cstheme="minorHAnsi"/>
          <w:b/>
          <w:bCs/>
          <w:color w:val="000000"/>
          <w:kern w:val="0"/>
          <w:u w:color="0000E9"/>
        </w:rPr>
        <w:t>14.</w:t>
      </w:r>
      <w:r w:rsidRPr="00D16E87">
        <w:rPr>
          <w:rFonts w:cstheme="minorHAnsi"/>
          <w:color w:val="000000"/>
          <w:kern w:val="0"/>
          <w:u w:color="0000E9"/>
        </w:rPr>
        <w:t xml:space="preserve"> SMEE's </w:t>
      </w:r>
      <w:proofErr w:type="spellStart"/>
      <w:r w:rsidRPr="00D16E87">
        <w:rPr>
          <w:rFonts w:cstheme="minorHAnsi"/>
          <w:color w:val="000000"/>
          <w:kern w:val="0"/>
          <w:u w:color="0000E9"/>
        </w:rPr>
        <w:t>i</w:t>
      </w:r>
      <w:proofErr w:type="spellEnd"/>
      <w:r w:rsidRPr="00D16E87">
        <w:rPr>
          <w:rFonts w:cstheme="minorHAnsi"/>
          <w:color w:val="000000"/>
          <w:kern w:val="0"/>
          <w:u w:color="0000E9"/>
        </w:rPr>
        <w:t xml:space="preserve">-line history, the 2011 dry </w:t>
      </w:r>
      <w:proofErr w:type="spellStart"/>
      <w:r w:rsidRPr="00D16E87">
        <w:rPr>
          <w:rFonts w:cstheme="minorHAnsi"/>
          <w:color w:val="000000"/>
          <w:kern w:val="0"/>
          <w:u w:color="0000E9"/>
        </w:rPr>
        <w:t>ArF</w:t>
      </w:r>
      <w:proofErr w:type="spellEnd"/>
      <w:r w:rsidRPr="00D16E87">
        <w:rPr>
          <w:rFonts w:cstheme="minorHAnsi"/>
          <w:color w:val="000000"/>
          <w:kern w:val="0"/>
          <w:u w:color="0000E9"/>
        </w:rPr>
        <w:t xml:space="preserve"> prototype, the SSA800's unconfirmed volume production, Yuliangsheng's consolidation with SMEE's immersion team, and base rates placing commercial-scale Chinese 7 nm-capable immersion DUV in the mid-2030s and 5 nm-capable EUV toward 2040. Hamish Low, Joshua Turner and Romeo Dean, "A forecast of Chinese DUV and EUV photolithography progress", AI Futures Project, 19 June 2026. </w:t>
      </w:r>
      <w:hyperlink r:id="rId22" w:history="1">
        <w:r w:rsidRPr="00D16E87">
          <w:rPr>
            <w:rFonts w:cstheme="minorHAnsi"/>
            <w:color w:val="0000E9"/>
            <w:kern w:val="0"/>
            <w:u w:val="single" w:color="0000E9"/>
          </w:rPr>
          <w:t>https://blog.aifutures.org/p/a-forecast-of-chinese-duv-and-euv</w:t>
        </w:r>
      </w:hyperlink>
    </w:p>
    <w:p w14:paraId="5922B486" w14:textId="377E0B25" w:rsidR="004E6A79" w:rsidRDefault="00D16E87" w:rsidP="00D16E87">
      <w:r w:rsidRPr="00D16E87">
        <w:rPr>
          <w:rFonts w:cstheme="minorHAnsi"/>
          <w:b/>
          <w:bCs/>
          <w:color w:val="000000"/>
          <w:kern w:val="0"/>
          <w:u w:color="0000E9"/>
        </w:rPr>
        <w:t>15.</w:t>
      </w:r>
      <w:r w:rsidRPr="00D16E87">
        <w:rPr>
          <w:rFonts w:cstheme="minorHAnsi"/>
          <w:color w:val="000000"/>
          <w:kern w:val="0"/>
          <w:u w:color="0000E9"/>
        </w:rPr>
        <w:t xml:space="preserve"> SMIC advanced-node capacity of approximately 45,000 wafers a month at end-2025; China's advanced-node targets of ~160,000 (end-2027) and 500,000 (2030). </w:t>
      </w:r>
      <w:proofErr w:type="spellStart"/>
      <w:r w:rsidRPr="00D16E87">
        <w:rPr>
          <w:rFonts w:cstheme="minorHAnsi"/>
          <w:color w:val="000000"/>
          <w:kern w:val="0"/>
          <w:u w:color="0000E9"/>
        </w:rPr>
        <w:t>SemiAnalysis</w:t>
      </w:r>
      <w:proofErr w:type="spellEnd"/>
      <w:r w:rsidRPr="00D16E87">
        <w:rPr>
          <w:rFonts w:cstheme="minorHAnsi"/>
          <w:color w:val="000000"/>
          <w:kern w:val="0"/>
          <w:u w:color="0000E9"/>
        </w:rPr>
        <w:t xml:space="preserve"> and UBS via press reporting. </w:t>
      </w:r>
      <w:proofErr w:type="spellStart"/>
      <w:r w:rsidRPr="00D16E87">
        <w:rPr>
          <w:rFonts w:cstheme="minorHAnsi"/>
          <w:color w:val="000000"/>
          <w:kern w:val="0"/>
          <w:u w:color="0000E9"/>
        </w:rPr>
        <w:t>SemiAnalysis's</w:t>
      </w:r>
      <w:proofErr w:type="spellEnd"/>
      <w:r w:rsidRPr="00D16E87">
        <w:rPr>
          <w:rFonts w:cstheme="minorHAnsi"/>
          <w:color w:val="000000"/>
          <w:kern w:val="0"/>
          <w:u w:color="0000E9"/>
        </w:rPr>
        <w:t xml:space="preserve"> Huawei Ascend production work is at </w:t>
      </w:r>
      <w:hyperlink r:id="rId23" w:history="1">
        <w:r w:rsidRPr="00D16E87">
          <w:rPr>
            <w:rFonts w:cstheme="minorHAnsi"/>
            <w:color w:val="0000E9"/>
            <w:kern w:val="0"/>
            <w:u w:val="single" w:color="0000E9"/>
          </w:rPr>
          <w:t>https://newsletter.semianalysis.com/p/huawei-ascend-production-ramp</w:t>
        </w:r>
      </w:hyperlink>
      <w:r>
        <w:rPr>
          <w:rFonts w:ascii="Times-Roman" w:hAnsi="Times-Roman" w:cs="Times-Roman"/>
          <w:color w:val="000000"/>
          <w:kern w:val="0"/>
          <w:u w:color="0000E9"/>
        </w:rPr>
        <w:t>.</w:t>
      </w:r>
    </w:p>
    <w:sectPr w:rsidR="004E6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87"/>
    <w:rsid w:val="004E6A79"/>
    <w:rsid w:val="0080219F"/>
    <w:rsid w:val="00854E96"/>
    <w:rsid w:val="00D16E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4E3CB7"/>
  <w15:chartTrackingRefBased/>
  <w15:docId w15:val="{6A459F15-4524-9A4D-A00C-AAEB6729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E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E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6E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E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E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E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E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E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E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E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6E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6E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E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E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E87"/>
    <w:rPr>
      <w:rFonts w:eastAsiaTheme="majorEastAsia" w:cstheme="majorBidi"/>
      <w:color w:val="272727" w:themeColor="text1" w:themeTint="D8"/>
    </w:rPr>
  </w:style>
  <w:style w:type="paragraph" w:styleId="Title">
    <w:name w:val="Title"/>
    <w:basedOn w:val="Normal"/>
    <w:next w:val="Normal"/>
    <w:link w:val="TitleChar"/>
    <w:uiPriority w:val="10"/>
    <w:qFormat/>
    <w:rsid w:val="00D16E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E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E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6E87"/>
    <w:rPr>
      <w:i/>
      <w:iCs/>
      <w:color w:val="404040" w:themeColor="text1" w:themeTint="BF"/>
    </w:rPr>
  </w:style>
  <w:style w:type="paragraph" w:styleId="ListParagraph">
    <w:name w:val="List Paragraph"/>
    <w:basedOn w:val="Normal"/>
    <w:uiPriority w:val="34"/>
    <w:qFormat/>
    <w:rsid w:val="00D16E87"/>
    <w:pPr>
      <w:ind w:left="720"/>
      <w:contextualSpacing/>
    </w:pPr>
  </w:style>
  <w:style w:type="character" w:styleId="IntenseEmphasis">
    <w:name w:val="Intense Emphasis"/>
    <w:basedOn w:val="DefaultParagraphFont"/>
    <w:uiPriority w:val="21"/>
    <w:qFormat/>
    <w:rsid w:val="00D16E87"/>
    <w:rPr>
      <w:i/>
      <w:iCs/>
      <w:color w:val="2F5496" w:themeColor="accent1" w:themeShade="BF"/>
    </w:rPr>
  </w:style>
  <w:style w:type="paragraph" w:styleId="IntenseQuote">
    <w:name w:val="Intense Quote"/>
    <w:basedOn w:val="Normal"/>
    <w:next w:val="Normal"/>
    <w:link w:val="IntenseQuoteChar"/>
    <w:uiPriority w:val="30"/>
    <w:qFormat/>
    <w:rsid w:val="00D16E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E87"/>
    <w:rPr>
      <w:i/>
      <w:iCs/>
      <w:color w:val="2F5496" w:themeColor="accent1" w:themeShade="BF"/>
    </w:rPr>
  </w:style>
  <w:style w:type="character" w:styleId="IntenseReference">
    <w:name w:val="Intense Reference"/>
    <w:basedOn w:val="DefaultParagraphFont"/>
    <w:uiPriority w:val="32"/>
    <w:qFormat/>
    <w:rsid w:val="00D16E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0000937966/000093796625000009/asml-20241231.htm" TargetMode="External"/><Relationship Id="rId13" Type="http://schemas.openxmlformats.org/officeDocument/2006/relationships/hyperlink" Target="https://www.asml.com/en/news/press-releases/2015/asml-ships-new-twinscan-nxt-immersion-lithography-platform" TargetMode="External"/><Relationship Id="rId18" Type="http://schemas.openxmlformats.org/officeDocument/2006/relationships/hyperlink" Target="https://www.reuters.com/article/business/asml-extends-sales-deal-with-chinese-chipmaker-smic-to-end-of-2021-idUSKBN2AV1S5/" TargetMode="External"/><Relationship Id="rId3" Type="http://schemas.openxmlformats.org/officeDocument/2006/relationships/webSettings" Target="webSettings.xml"/><Relationship Id="rId21" Type="http://schemas.openxmlformats.org/officeDocument/2006/relationships/hyperlink" Target="https://semiengineering.com/why-euv-is-so-difficult" TargetMode="External"/><Relationship Id="rId7" Type="http://schemas.openxmlformats.org/officeDocument/2006/relationships/hyperlink" Target="https://newsletter.semianalysis.com/p/steel-smic-n3-teardown" TargetMode="External"/><Relationship Id="rId12" Type="http://schemas.openxmlformats.org/officeDocument/2006/relationships/hyperlink" Target="https://www.cnbc.com/2026/01/28/asml-q4-2025-earnings-report.html" TargetMode="External"/><Relationship Id="rId17" Type="http://schemas.openxmlformats.org/officeDocument/2006/relationships/hyperlink" Target="https://chinaselectcommittee.house.gov/sites/evo-subsites/selectcommitteeontheccp.house.gov/files/evo-media-document/selling-the-forges-of-the-future.pdf"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sec.gov/Archives/edgar/data/937966/000093796624000026/exhibit995.htm" TargetMode="External"/><Relationship Id="rId20" Type="http://schemas.openxmlformats.org/officeDocument/2006/relationships/hyperlink" Target="https://semiengineering.com/multi-patterning-problems-grow/" TargetMode="External"/><Relationship Id="rId1" Type="http://schemas.openxmlformats.org/officeDocument/2006/relationships/styles" Target="styles.xml"/><Relationship Id="rId6" Type="http://schemas.openxmlformats.org/officeDocument/2006/relationships/hyperlink" Target="https://newsletter.semianalysis.com/p/chinas-cxmt-is-set-to-challenge-dram" TargetMode="External"/><Relationship Id="rId11" Type="http://schemas.openxmlformats.org/officeDocument/2006/relationships/hyperlink" Target="https://www.asml.com/en/news/press-releases/2026/q4-2025-financial-results" TargetMode="External"/><Relationship Id="rId24" Type="http://schemas.openxmlformats.org/officeDocument/2006/relationships/fontTable" Target="fontTable.xml"/><Relationship Id="rId5" Type="http://schemas.openxmlformats.org/officeDocument/2006/relationships/hyperlink" Target="https://colab.research.google.com/drive/1WG0FwqkVb84NdQEJ3sJvIZXoEHI2jvXx" TargetMode="External"/><Relationship Id="rId15" Type="http://schemas.openxmlformats.org/officeDocument/2006/relationships/hyperlink" Target="https://www.asml.com/en/products/duv-lithography-systems/twinscan-nxt1980fi" TargetMode="External"/><Relationship Id="rId23" Type="http://schemas.openxmlformats.org/officeDocument/2006/relationships/hyperlink" Target="https://newsletter.semianalysis.com/p/huawei-ascend-production-ramp" TargetMode="External"/><Relationship Id="rId10" Type="http://schemas.openxmlformats.org/officeDocument/2006/relationships/hyperlink" Target="https://ourbrand.asml.com/m/3136300aa4999bc1/original/2026_01_28_Presentation-Investor-Relations-Q4-2025.pdf" TargetMode="External"/><Relationship Id="rId19" Type="http://schemas.openxmlformats.org/officeDocument/2006/relationships/hyperlink" Target="https://semiengineering.com/7nm-lithography-choices/" TargetMode="External"/><Relationship Id="rId4" Type="http://schemas.openxmlformats.org/officeDocument/2006/relationships/hyperlink" Target="https://epoch.ai/publications/huaweis-roadmap-to-2031" TargetMode="External"/><Relationship Id="rId9" Type="http://schemas.openxmlformats.org/officeDocument/2006/relationships/hyperlink" Target="https://www.sec.gov/Archives/edgar/data/937966/000093796625000009/0000937966-25-000009-index.htm" TargetMode="External"/><Relationship Id="rId14" Type="http://schemas.openxmlformats.org/officeDocument/2006/relationships/hyperlink" Target="https://www.asml.com/en/products/duv-lithography-systems/twinscan-nxt1980di" TargetMode="External"/><Relationship Id="rId22" Type="http://schemas.openxmlformats.org/officeDocument/2006/relationships/hyperlink" Target="https://blog.aifutures.org/p/a-forecast-of-chinese-duv-and-eu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5509</Words>
  <Characters>31404</Characters>
  <Application>Microsoft Office Word</Application>
  <DocSecurity>0</DocSecurity>
  <Lines>261</Lines>
  <Paragraphs>73</Paragraphs>
  <ScaleCrop>false</ScaleCrop>
  <Company/>
  <LinksUpToDate>false</LinksUpToDate>
  <CharactersWithSpaces>36840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Lomax</dc:creator>
  <cp:keywords/>
  <dc:description/>
  <cp:lastModifiedBy>Sam Lomax</cp:lastModifiedBy>
  <cp:revision>1</cp:revision>
  <dcterms:created xsi:type="dcterms:W3CDTF">2026-09-26T14:44:00Z</dcterms:created>
  <dcterms:modified xsi:type="dcterms:W3CDTF">2026-09-26T14:46:00Z</dcterms:modified>
</cp:coreProperties>
</file>