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ectionTitle"/>
      </w:pPr>
      <w:r>
        <w:t>图1-2 原图试排</w:t>
      </w:r>
    </w:p>
    <w:p>
      <w:pPr>
        <w:pStyle w:val="Body"/>
        <w:keepNext/>
      </w:pPr>
      <w:r>
        <w:t>T1、T2、T3都只能选b或c，资源表还列出d。每条请求候选非空，位置总数等于请求总数，仍然无解，因为d对它们不可达。读图时，区分资源总数与这组请求可以使用的位置数。</w:t>
      </w:r>
    </w:p>
    <w:p>
      <w:pPr>
        <w:pStyle w:val="Body"/>
        <w:keepNext/>
      </w:pPr>
      <w:r>
        <w:t>见图</w:t>
      </w:r>
      <w:r>
        <w:fldChar w:fldCharType="begin"/>
      </w:r>
      <w:r>
        <w:instrText xml:space="preserve"> REF original_fig1_2 \h </w:instrText>
      </w:r>
      <w:r>
        <w:fldChar w:fldCharType="separate"/>
      </w:r>
      <w:r>
        <w:t>1-2</w:t>
      </w:r>
      <w:r>
        <w:fldChar w:fldCharType="end"/>
      </w:r>
      <w:r>
        <w:t>；本页与对照页采用相同正文及155 mm插图宽度。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87775"/>
            <wp:docPr id="1" name="Picture 1" descr="T1、T2、T3都只能选b或c，资源表还列出d。每条请求候选非空，位置总数等于请求总数，仍然无解，因为d对它们不可达。读图时，区分资源总数与这组请求可以使用的位置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87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400" w:name="original_fig1_2"/>
      <w:r>
        <w:fldChar w:fldCharType="begin"/>
      </w:r>
      <w:r>
        <w:instrText xml:space="preserve"> SEQ Chapter \r 1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\r 2 \* ARABIC </w:instrText>
      </w:r>
      <w:r>
        <w:fldChar w:fldCharType="separate"/>
      </w:r>
      <w:r>
        <w:t>2</w:t>
      </w:r>
      <w:r>
        <w:fldChar w:fldCharType="end"/>
      </w:r>
      <w:bookmarkEnd w:id="400"/>
      <w:r>
        <w:t xml:space="preserve"> 局部候选与全局瓶颈</w:t>
      </w:r>
    </w:p>
    <w:p>
      <w:pPr>
        <w:pStyle w:val="SourceNote"/>
      </w:pPr>
      <w:r>
        <w:t>来源：本书原创教学示例；基于第一章已交付内容。独立试排不替换正式稿。</w:t>
      </w:r>
    </w:p>
    <w:p>
      <w:r>
        <w:br w:type="page"/>
      </w:r>
    </w:p>
    <w:p>
      <w:pPr>
        <w:pStyle w:val="SectionTitle"/>
      </w:pPr>
      <w:r>
        <w:t>图1-2 独立候选试排</w:t>
      </w:r>
    </w:p>
    <w:p>
      <w:pPr>
        <w:pStyle w:val="Body"/>
        <w:keepNext/>
      </w:pPr>
      <w:r>
        <w:t>T1、T2、T3都只能选b或c，资源表还列出d。每条请求候选非空，位置总数等于请求总数，仍然无解，因为d对它们不可达。读图时，区分资源总数与这组请求可以使用的位置数。</w:t>
      </w:r>
    </w:p>
    <w:p>
      <w:pPr>
        <w:pStyle w:val="Body"/>
        <w:keepNext/>
      </w:pPr>
      <w:r>
        <w:t>见图</w:t>
      </w:r>
      <w:r>
        <w:fldChar w:fldCharType="begin"/>
      </w:r>
      <w:r>
        <w:instrText xml:space="preserve"> REF candidate_fig1_2 \h </w:instrText>
      </w:r>
      <w:r>
        <w:fldChar w:fldCharType="separate"/>
      </w:r>
      <w:r>
        <w:t>1-2</w:t>
      </w:r>
      <w:r>
        <w:fldChar w:fldCharType="end"/>
      </w:r>
      <w:r>
        <w:t>；本页与对照页采用相同正文及155 mm插图宽度。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464457"/>
            <wp:docPr id="2" name="Picture 2" descr="T1、T2、T3都只能选b或c，资源表还列出d。每条请求候选非空，位置总数等于请求总数，仍然无解，因为d对它们不可达。读图时，区分资源总数与这组请求可以使用的位置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2-candid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401" w:name="candidate_fig1_2"/>
      <w:r>
        <w:fldChar w:fldCharType="begin"/>
      </w:r>
      <w:r>
        <w:instrText xml:space="preserve"> SEQ Chapter \r 1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\r 2 \* ARABIC </w:instrText>
      </w:r>
      <w:r>
        <w:fldChar w:fldCharType="separate"/>
      </w:r>
      <w:r>
        <w:t>2</w:t>
      </w:r>
      <w:r>
        <w:fldChar w:fldCharType="end"/>
      </w:r>
      <w:bookmarkEnd w:id="401"/>
      <w:r>
        <w:t xml:space="preserve"> 局部候选与全局瓶颈</w:t>
      </w:r>
    </w:p>
    <w:p>
      <w:pPr>
        <w:pStyle w:val="SourceNote"/>
      </w:pPr>
      <w:r>
        <w:t>来源：本书原创教学示例；基于第一章已交付内容。独立试排不替换正式稿。</w:t>
      </w:r>
    </w:p>
    <w:p>
      <w:r>
        <w:br w:type="page"/>
      </w:r>
    </w:p>
    <w:p>
      <w:pPr>
        <w:pStyle w:val="SectionTitle"/>
      </w:pPr>
      <w:r>
        <w:t>图1-6 原图试排</w:t>
      </w:r>
    </w:p>
    <w:p>
      <w:pPr>
        <w:pStyle w:val="Body"/>
        <w:keepNext/>
      </w:pPr>
      <w:r>
        <w:t>同一场地的占用按半开区间判断。活动A为[9:00,11:00)，与[10:00,11:00)重叠，与[11:00,12:00)相接。若清理20分钟和准备15分钟均需独占场地，则须比较扩展后的实际占用。</w:t>
      </w:r>
    </w:p>
    <w:p>
      <w:pPr>
        <w:pStyle w:val="Body"/>
        <w:keepNext/>
      </w:pPr>
      <w:r>
        <w:t>见图</w:t>
      </w:r>
      <w:r>
        <w:fldChar w:fldCharType="begin"/>
      </w:r>
      <w:r>
        <w:instrText xml:space="preserve"> REF original_fig1_6 \h </w:instrText>
      </w:r>
      <w:r>
        <w:fldChar w:fldCharType="separate"/>
      </w:r>
      <w:r>
        <w:t>1-6</w:t>
      </w:r>
      <w:r>
        <w:fldChar w:fldCharType="end"/>
      </w:r>
      <w:r>
        <w:t>；本页与对照页采用相同正文及155 mm插图宽度。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3" name="Picture 3" descr="同一场地的占用按半开区间判断。活动A为[9:00,11:00)，与[10:00,11:00)重叠，与[11:00,12:00)相接。若清理20分钟和准备15分钟均需独占场地，则须比较扩展后的实际占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402" w:name="original_fig1_6"/>
      <w:r>
        <w:fldChar w:fldCharType="begin"/>
      </w:r>
      <w:r>
        <w:instrText xml:space="preserve"> SEQ Chapter \r 1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\r 6 \* ARABIC </w:instrText>
      </w:r>
      <w:r>
        <w:fldChar w:fldCharType="separate"/>
      </w:r>
      <w:r>
        <w:t>6</w:t>
      </w:r>
      <w:r>
        <w:fldChar w:fldCharType="end"/>
      </w:r>
      <w:bookmarkEnd w:id="402"/>
      <w:r>
        <w:t xml:space="preserve"> 半开区间中的连续占用、端点相接与准备清理时间</w:t>
      </w:r>
    </w:p>
    <w:p>
      <w:pPr>
        <w:pStyle w:val="SourceNote"/>
      </w:pPr>
      <w:r>
        <w:t>来源：本书原创教学示例；基于第一章已交付内容。独立试排不替换正式稿。</w:t>
      </w:r>
    </w:p>
    <w:p>
      <w:r>
        <w:br w:type="page"/>
      </w:r>
    </w:p>
    <w:p>
      <w:pPr>
        <w:pStyle w:val="SectionTitle"/>
      </w:pPr>
      <w:r>
        <w:t>图1-6 独立候选试排</w:t>
      </w:r>
    </w:p>
    <w:p>
      <w:pPr>
        <w:pStyle w:val="Body"/>
        <w:keepNext/>
      </w:pPr>
      <w:r>
        <w:t>同一场地的占用按半开区间判断。活动A为[9:00,11:00)，与[10:00,11:00)重叠，与[11:00,12:00)相接。若清理20分钟和准备15分钟均需独占场地，则须比较扩展后的实际占用。</w:t>
      </w:r>
    </w:p>
    <w:p>
      <w:pPr>
        <w:pStyle w:val="Body"/>
        <w:keepNext/>
      </w:pPr>
      <w:r>
        <w:t>见图</w:t>
      </w:r>
      <w:r>
        <w:fldChar w:fldCharType="begin"/>
      </w:r>
      <w:r>
        <w:instrText xml:space="preserve"> REF candidate_fig1_6 \h </w:instrText>
      </w:r>
      <w:r>
        <w:fldChar w:fldCharType="separate"/>
      </w:r>
      <w:r>
        <w:t>1-6</w:t>
      </w:r>
      <w:r>
        <w:fldChar w:fldCharType="end"/>
      </w:r>
      <w:r>
        <w:t>；本页与对照页采用相同正文及155 mm插图宽度。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653180"/>
            <wp:docPr id="4" name="Picture 4" descr="同一场地的占用按半开区间判断。活动A为[9:00,11:00)，与[10:00,11:00)重叠，与[11:00,12:00)相接。若清理20分钟和准备15分钟均需独占场地，则须比较扩展后的实际占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6-candid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5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403" w:name="candidate_fig1_6"/>
      <w:r>
        <w:fldChar w:fldCharType="begin"/>
      </w:r>
      <w:r>
        <w:instrText xml:space="preserve"> SEQ Chapter \r 1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\r 6 \* ARABIC </w:instrText>
      </w:r>
      <w:r>
        <w:fldChar w:fldCharType="separate"/>
      </w:r>
      <w:r>
        <w:t>6</w:t>
      </w:r>
      <w:r>
        <w:fldChar w:fldCharType="end"/>
      </w:r>
      <w:bookmarkEnd w:id="403"/>
      <w:r>
        <w:t xml:space="preserve"> 半开区间中的连续占用、端点相接与准备清理时间</w:t>
      </w:r>
    </w:p>
    <w:p>
      <w:pPr>
        <w:pStyle w:val="SourceNote"/>
      </w:pPr>
      <w:r>
        <w:t>来源：本书原创教学示例；基于第一章已交付内容。独立试排不替换正式稿。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第一章教学图对照试排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chineseCounting"/>
      <w:lvlText w:val="第%1章"/>
      <w:suff w:val="space"/>
      <w:lvlJc w:val="center"/>
    </w:lvl>
  </w:abstract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snapToGrid w:val="false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Noto Sans CJK SC" w:hAnsi="Noto Sans CJK SC" w:eastAsia="Noto Sans CJK SC" w:cs="Noto Sans CJK SC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Noto Sans CJK SC" w:hAnsi="Noto Sans CJK SC" w:eastAsia="Noto Sans CJK SC" w:cs="Noto Sans CJK SC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Title">
    <w:name w:val="ChapterTitle"/>
    <w:basedOn w:val="Heading1"/>
    <w:pPr>
      <w:keepNext/>
      <w:keepLines/>
      <w:pageBreakBefore/>
      <w:widowControl/>
      <w:spacing w:line="360" w:lineRule="auto" w:before="0" w:after="360"/>
      <w:ind w:firstLine="0"/>
      <w:jc w:val="center"/>
      <w:outlineLvl w:val="0"/>
      <w:numPr>
        <w:ilvl w:val="0"/>
        <w:numId w:val="80"/>
      </w:numPr>
    </w:pPr>
    <w:rPr>
      <w:rFonts w:ascii="Noto Sans CJK SC" w:hAnsi="Noto Sans CJK SC" w:eastAsia="Noto Sans CJK SC" w:cs="Noto Sans CJK SC"/>
      <w:b/>
      <w:color w:val="000000"/>
      <w:sz w:val="36"/>
    </w:rPr>
  </w:style>
  <w:style w:type="paragraph" w:customStyle="1" w:styleId="SectionTitle">
    <w:name w:val="SectionTitle"/>
    <w:basedOn w:val="Heading2"/>
    <w:pPr>
      <w:keepNext/>
      <w:keepLines/>
      <w:widowControl/>
      <w:spacing w:line="360" w:lineRule="auto" w:before="240" w:after="120"/>
      <w:ind w:firstLine="0"/>
      <w:jc w:val="left"/>
      <w:outlineLvl w:val="1"/>
    </w:pPr>
    <w:rPr>
      <w:rFonts w:ascii="Noto Sans CJK SC" w:hAnsi="Noto Sans CJK SC" w:eastAsia="Noto Sans CJK SC" w:cs="Noto Sans CJK SC"/>
      <w:b/>
      <w:color w:val="000000"/>
      <w:sz w:val="32"/>
    </w:rPr>
  </w:style>
  <w:style w:type="paragraph" w:customStyle="1" w:styleId="SubsectionTitle">
    <w:name w:val="SubsectionTitle"/>
    <w:basedOn w:val="Heading3"/>
    <w:pPr>
      <w:keepNext/>
      <w:keepLines/>
      <w:widowControl/>
      <w:spacing w:line="360" w:lineRule="auto" w:before="240" w:after="120"/>
      <w:ind w:firstLine="0"/>
      <w:jc w:val="left"/>
      <w:outlineLvl w:val="2"/>
    </w:pPr>
    <w:rPr>
      <w:rFonts w:ascii="Noto Sans CJK SC" w:hAnsi="Noto Sans CJK SC" w:eastAsia="Noto Sans CJK SC" w:cs="Noto Sans CJK SC"/>
      <w:b/>
      <w:color w:val="000000"/>
      <w:sz w:val="28"/>
    </w:rPr>
  </w:style>
  <w:style w:type="paragraph" w:customStyle="1" w:styleId="Body">
    <w:name w:val="Body"/>
    <w:basedOn w:val="Normal"/>
    <w:pPr>
      <w:keepNext w:val="0"/>
      <w:keepLines/>
      <w:widowControl/>
      <w:spacing w:line="360" w:lineRule="auto" w:before="0" w:after="0"/>
      <w:ind w:firstLine="480" w:firstLineChars="200"/>
      <w:jc w:val="both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FigureCaption">
    <w:name w:val="FigureCaption"/>
    <w:basedOn w:val="Caption"/>
    <w:pPr>
      <w:keepNext/>
      <w:keepLines/>
      <w:widowControl/>
      <w:spacing w:line="288" w:lineRule="auto" w:before="120" w:after="120"/>
      <w:ind w:firstLine="0"/>
      <w:jc w:val="center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TableCaption">
    <w:name w:val="TableCaption"/>
    <w:basedOn w:val="Caption"/>
    <w:pPr>
      <w:keepNext/>
      <w:keepLines/>
      <w:widowControl/>
      <w:spacing w:line="288" w:lineRule="auto" w:before="120" w:after="120"/>
      <w:ind w:firstLine="0"/>
      <w:jc w:val="center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TableBody">
    <w:name w:val="TableBody"/>
    <w:basedOn w:val="Normal"/>
    <w:pPr>
      <w:keepNext w:val="0"/>
      <w:widowControl/>
      <w:spacing w:line="288" w:lineRule="auto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SourceNote">
    <w:name w:val="SourceNote"/>
    <w:basedOn w:val="Normal"/>
    <w:pPr>
      <w:keepNext w:val="0"/>
      <w:widowControl/>
      <w:spacing w:line="288" w:lineRule="auto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Reference">
    <w:name w:val="Reference"/>
    <w:basedOn w:val="Normal"/>
    <w:pPr>
      <w:keepNext w:val="0"/>
      <w:widowControl/>
      <w:tabs>
        <w:tab w:pos="567" w:val="left"/>
      </w:tabs>
      <w:spacing w:line="288" w:lineRule="auto" w:before="0" w:after="0"/>
      <w:ind w:left="567" w:hanging="567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Code">
    <w:name w:val="Code"/>
    <w:basedOn w:val="Normal"/>
    <w:pPr>
      <w:keepNext w:val="0"/>
      <w:widowControl/>
      <w:spacing w:line="240" w:lineRule="auto" w:before="0" w:after="0"/>
      <w:ind w:firstLine="0"/>
      <w:jc w:val="left"/>
    </w:pPr>
    <w:rPr>
      <w:rFonts w:ascii="Noto Sans Mono CJK SC" w:hAnsi="Noto Sans Mono CJK SC" w:eastAsia="Noto Sans Mono CJK SC" w:cs="Noto Sans Mono CJK SC"/>
      <w:b w:val="0"/>
      <w:color w:val="000000"/>
      <w:sz w:val="21"/>
    </w:rPr>
  </w:style>
  <w:style w:type="paragraph" w:customStyle="1" w:styleId="TOC1">
    <w:name w:val="TOC 1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TOC2">
    <w:name w:val="TOC 2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TOC3">
    <w:name w:val="TOC 3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HiddenCounter">
    <w:name w:val="HiddenCounter"/>
    <w:basedOn w:val="Normal"/>
    <w:pPr>
      <w:keepNext/>
      <w:spacing w:line="20" w:lineRule="exact"/>
    </w:pPr>
    <w:rPr>
      <w:rFonts w:ascii="Noto Serif CJK SC" w:hAnsi="Noto Serif CJK SC" w:eastAsia="Noto Serif CJK SC" w:cs="Noto Serif CJK SC"/>
      <w:b w:val="0"/>
      <w:vanish/>
      <w:color w:val="000000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textbook-style-v1.0</dc:title>
  <dc:subject>textbook-style-v1.0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