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计算思维：从现实问题到可检验的解决过程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Chapter \* ARABIC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  <w:t>1</w:t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Figure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Table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Body"/>
      </w:pPr>
      <w:r>
        <w:t>一张排程表填满了，任务就完成了吗？一个程序正常运行了，现实问题就解决了吗？这些判断需要回到目标、条件、处理过程和检查依据。本样张节选第一章的少量内容，独立编排图表编号；跨页表格测试材料只用于检查版式，完整章节仍以原稿为准。</w:t>
      </w:r>
    </w:p>
    <w:p>
      <w:pPr>
        <w:pStyle w:val="SectionTitle"/>
      </w:pPr>
      <w:r>
        <w:t>学习目标</w:t>
      </w:r>
    </w:p>
    <w:p>
      <w:pPr>
        <w:pStyle w:val="Body"/>
        <w:ind w:firstLine="0" w:left="240"/>
      </w:pPr>
      <w:r>
        <w:t>• 区分计算思维、编程与工具使用，用一个反例解释区别。</w:t>
      </w:r>
    </w:p>
    <w:p>
      <w:pPr>
        <w:pStyle w:val="Body"/>
        <w:ind w:firstLine="0" w:left="240"/>
      </w:pPr>
      <w:r>
        <w:t>• 把含糊需求改写为目标、输入、硬约束、偏好、输出与检查标准。</w:t>
      </w:r>
    </w:p>
    <w:p>
      <w:pPr>
        <w:pStyle w:val="Body"/>
        <w:ind w:firstLine="0" w:left="240"/>
      </w:pPr>
      <w:r>
        <w:t>• 形成候选安排，逐项检验，并在条件变化后重新判断可行性。</w:t>
      </w:r>
    </w:p>
    <w:p>
      <w:pPr>
        <w:pStyle w:val="SectionTitle"/>
      </w:pPr>
      <w:r>
        <w:t>学习路线</w:t>
      </w:r>
    </w:p>
    <w:p>
      <w:pPr>
        <w:pStyle w:val="Body"/>
      </w:pPr>
      <w:r>
        <w:t>先阅读问题表示和方法协同的说明，再完成E01。练习所需数据和评价标准放在题目处，详细参考解集中在样张末尾的“参考解与讨论”。请先独立完成并保留失败候选，再对照参考解分析。</w:t>
      </w:r>
    </w:p>
    <w:p>
      <w:pPr>
        <w:pStyle w:val="SourceNote"/>
      </w:pPr>
      <w:r>
        <w:t>样张目录（仅节标题）</w:t>
      </w:r>
    </w:p>
    <w:p>
      <w:pPr>
        <w:pStyle w:val="SourceNote"/>
        <w:tabs>
          <w:tab w:pos="8787" w:val="right" w:leader="dot"/>
        </w:tabs>
      </w:pPr>
      <w:r>
        <w:fldChar w:fldCharType="begin"/>
      </w:r>
      <w:r>
        <w:instrText xml:space="preserve"> TOC \b pilot_body \o "2-2" \h \z \u </w:instrText>
      </w:r>
      <w:r>
        <w:fldChar w:fldCharType="separate"/>
      </w:r>
      <w:r>
        <w:t>1.1 从需求到可检验的过程</w:t>
        <w:tab/>
        <w:t>2</w:t>
      </w:r>
      <w:r>
        <w:fldChar w:fldCharType="end"/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0" w:name="pilot_body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1</w:t>
      </w:r>
      <w:r>
        <w:fldChar w:fldCharType="end"/>
      </w:r>
      <w:r>
        <w:t xml:space="preserve"> 从需求到可检验的过程</w:t>
      </w:r>
    </w:p>
    <w:p>
      <w:pPr>
        <w:pStyle w:val="Body"/>
      </w:pPr>
      <w:r>
        <w:t>计算思维与编程相关，但二者并不相同。Wing将计算思维联系到运用计算机科学的基本概念解决问题、设计系统和理解人类行为，并强调概念化超越单纯编程</w:t>
      </w:r>
      <w:r>
        <w:t>⁠</w:t>
      </w:r>
      <w:r>
        <w:rPr>
          <w:vertAlign w:val="superscript"/>
        </w:rPr>
        <w:t>[1]</w:t>
      </w:r>
      <w:r>
        <w:t>⁠</w:t>
      </w:r>
      <w:r>
        <w:t>。程序可以准确执行写入其中的规则；如果规则遗漏了重要条件，程序仍可能给出一个现实上不可用的答案。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方法如何共同工作</w:t>
      </w:r>
    </w:p>
    <w:p>
      <w:pPr>
        <w:pStyle w:val="Body"/>
      </w:pPr>
      <w:r>
        <w:t>抽象帮助我们选择与目标相关的对象、关系和状态。安排显示设备时，装饰颜色可能暂时无关，设备具备什么功能、何时开放却不能略去。判断一项信息是否需要保留，可以问：如果它改变，方案的可行性或评价会不会随之改变？</w:t>
      </w:r>
    </w:p>
    <w:p>
      <w:pPr>
        <w:pStyle w:val="Body"/>
      </w:pPr>
      <w:r>
        <w:t>分解使请求整理、候选生成、占用检查等工作更容易处理，但要保留它们之间的联系。每个请求单独有可选位置，不代表所有请求能够同时安排；整体检查还要发现它们是否争用同一个设备时段。</w:t>
      </w:r>
    </w:p>
    <w:p>
      <w:pPr>
        <w:pStyle w:val="Body"/>
      </w:pPr>
      <w:r>
        <w:t>模式识别让我们复用功能、时间和占用规则，同时寻找例外。算法思维把选择和回退过程写清楚，评估把候选与标准联系起来。自动化可以扩大重复执行的规模，泛化则要求重新检查规则的适用条件。这些方法交错出现，不能仅靠逐个列出术语证明完成了问题分析。</w:t>
      </w:r>
    </w:p>
    <w:p>
      <w:pPr>
        <w:pStyle w:val="Body"/>
      </w:pPr>
      <w:r>
        <w:fldChar w:fldCharType="begin"/>
      </w:r>
      <w:r>
        <w:instrText xml:space="preserve"> REF fig1_1 \h </w:instrText>
      </w:r>
      <w:r>
        <w:fldChar w:fldCharType="separate"/>
      </w:r>
      <w:r>
        <w:t>图1-1</w:t>
      </w:r>
      <w:r>
        <w:fldChar w:fldCharType="end"/>
      </w:r>
      <w:r>
        <w:t>把口头需求、对象表示和检查规则联系起来。请沿箭头指出：哪项关系使“设备合适”成为可以检查的条件？哪些偏好仍需由提出者说明？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69673"/>
            <wp:docPr id="1" name="Picture 1" descr="口头需求经对象与关系整理成检查规则；偏好另行定义，失败后回查条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101" w:name="fig1_1"/>
      <w:r>
        <w:t>图</w:t>
      </w: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1</w:t>
      </w:r>
      <w:r>
        <w:fldChar w:fldCharType="end"/>
      </w:r>
      <w:bookmarkEnd w:id="101"/>
      <w:r>
        <w:t xml:space="preserve"> 需求如何变成可检查的规则</w:t>
      </w:r>
    </w:p>
    <w:p>
      <w:pPr>
        <w:pStyle w:val="SourceNote"/>
      </w:pPr>
      <w:r>
        <w:t>来源：本书原创教学结构图，依据第一章共享设备情境重绘为试排图，不替换原章图。</w:t>
      </w:r>
    </w:p>
    <w:p>
      <w:pPr>
        <w:pStyle w:val="Body"/>
      </w:pPr>
      <w:r>
        <w:t>生成式工具可以协助整理条件或提出候选，但流畅回答不能充当核验结果。NIST将生成式AI输出错误或虚构内容等现象列为“confabulation”风险</w:t>
      </w:r>
      <w:r>
        <w:t>⁠</w:t>
      </w:r>
      <w:r>
        <w:rPr>
          <w:vertAlign w:val="superscript"/>
        </w:rPr>
        <w:t>[2]</w:t>
      </w:r>
      <w:r>
        <w:t>⁠</w:t>
      </w:r>
      <w:r>
        <w:t>。输入数据、规则和输出仍须由使用者检查。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思维训练 E01 安排借用并检验资源变化</w:t>
      </w:r>
    </w:p>
    <w:p>
      <w:pPr>
        <w:pStyle w:val="Body"/>
      </w:pPr>
      <w:r>
        <w:t>数据为教学示例，不来自真实课程或学校。建议用时四十分钟，可独立完成或两人互相检查。每个请求占一个完整时段，三个时段按S1、S2、S3排列；题目不要求编程。</w:t>
      </w:r>
    </w:p>
    <w:p>
      <w:pPr>
        <w:pStyle w:val="Body"/>
      </w:pPr>
      <w:r>
        <w:fldChar w:fldCharType="begin"/>
      </w:r>
      <w:r>
        <w:instrText xml:space="preserve"> REF tbl1_1 \h </w:instrText>
      </w:r>
      <w:r>
        <w:fldChar w:fldCharType="separate"/>
      </w:r>
      <w:r>
        <w:t>表1-1</w:t>
      </w:r>
      <w:r>
        <w:fldChar w:fldCharType="end"/>
      </w:r>
      <w:r>
        <w:t>给出设备功能与开放状态，</w:t>
      </w:r>
      <w:r>
        <w:fldChar w:fldCharType="begin"/>
      </w:r>
      <w:r>
        <w:instrText xml:space="preserve"> REF tbl1_2 \h </w:instrText>
      </w:r>
      <w:r>
        <w:fldChar w:fldCharType="separate"/>
      </w:r>
      <w:r>
        <w:t>表1-2</w:t>
      </w:r>
      <w:r>
        <w:fldChar w:fldCharType="end"/>
      </w:r>
      <w:r>
        <w:t>给出借用请求。display表示显示功能。</w:t>
      </w:r>
    </w:p>
    <w:p>
      <w:pPr>
        <w:pStyle w:val="TableCaption"/>
      </w:pPr>
      <w:bookmarkStart w:id="201" w:name="tbl1_1"/>
      <w:r>
        <w:t>表</w:t>
      </w: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1</w:t>
      </w:r>
      <w:r>
        <w:fldChar w:fldCharType="end"/>
      </w:r>
      <w:bookmarkEnd w:id="201"/>
      <w:r>
        <w:t xml:space="preserve"> E01设备与开放时段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01"/>
        <w:gridCol w:w="3231"/>
        <w:gridCol w:w="3855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设备编号</w:t>
            </w:r>
          </w:p>
        </w:tc>
        <w:tc>
          <w:tcPr>
            <w:tcW w:type="dxa" w:w="323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具备功能</w:t>
            </w:r>
          </w:p>
        </w:tc>
        <w:tc>
          <w:tcPr>
            <w:tcW w:type="dxa" w:w="385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可用时段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Body"/>
              <w:keepNext/>
            </w:pPr>
            <w:r>
              <w:t>D1</w:t>
            </w:r>
          </w:p>
        </w:tc>
        <w:tc>
          <w:tcPr>
            <w:tcW w:type="dxa" w:w="3231"/>
            <w:vAlign w:val="center"/>
          </w:tcPr>
          <w:p>
            <w:pPr>
              <w:pStyle w:val="TableBody"/>
              <w:keepNext/>
            </w:pPr>
            <w:r>
              <w:t>display（显示）</w:t>
            </w:r>
          </w:p>
        </w:tc>
        <w:tc>
          <w:tcPr>
            <w:tcW w:type="dxa" w:w="3855"/>
            <w:vAlign w:val="center"/>
          </w:tcPr>
          <w:p>
            <w:pPr>
              <w:pStyle w:val="TableBody"/>
              <w:keepNext/>
            </w:pPr>
            <w:r>
              <w:t>S1、S2、S3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Body"/>
              <w:keepNext/>
            </w:pPr>
            <w:r>
              <w:t>D2</w:t>
            </w:r>
          </w:p>
        </w:tc>
        <w:tc>
          <w:tcPr>
            <w:tcW w:type="dxa" w:w="3231"/>
            <w:vAlign w:val="center"/>
          </w:tcPr>
          <w:p>
            <w:pPr>
              <w:pStyle w:val="TableBody"/>
              <w:keepNext/>
            </w:pPr>
            <w:r>
              <w:t>display（显示）</w:t>
            </w:r>
          </w:p>
        </w:tc>
        <w:tc>
          <w:tcPr>
            <w:tcW w:type="dxa" w:w="3855"/>
            <w:vAlign w:val="center"/>
          </w:tcPr>
          <w:p>
            <w:pPr>
              <w:pStyle w:val="TableBody"/>
              <w:keepNext/>
            </w:pPr>
            <w:r>
              <w:t>S2、S3</w:t>
            </w:r>
          </w:p>
        </w:tc>
      </w:tr>
    </w:tbl>
    <w:p>
      <w:pPr>
        <w:pStyle w:val="SourceNote"/>
      </w:pPr>
      <w:r>
        <w:t>来源：第一章E01教学示例数据。</w:t>
      </w:r>
    </w:p>
    <w:p>
      <w:pPr>
        <w:pStyle w:val="TableCaption"/>
      </w:pPr>
      <w:bookmarkStart w:id="202" w:name="tbl1_2"/>
      <w:r>
        <w:t>表</w:t>
      </w: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2</w:t>
      </w:r>
      <w:r>
        <w:fldChar w:fldCharType="end"/>
      </w:r>
      <w:bookmarkEnd w:id="202"/>
      <w:r>
        <w:t xml:space="preserve"> E01借用请求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01"/>
        <w:gridCol w:w="3231"/>
        <w:gridCol w:w="3855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请求编号</w:t>
            </w:r>
          </w:p>
        </w:tc>
        <w:tc>
          <w:tcPr>
            <w:tcW w:type="dxa" w:w="323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所需功能</w:t>
            </w:r>
          </w:p>
        </w:tc>
        <w:tc>
          <w:tcPr>
            <w:tcW w:type="dxa" w:w="385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允许时段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Body"/>
              <w:keepNext/>
            </w:pPr>
            <w:r>
              <w:t>R1</w:t>
            </w:r>
          </w:p>
        </w:tc>
        <w:tc>
          <w:tcPr>
            <w:tcW w:type="dxa" w:w="3231"/>
            <w:vAlign w:val="center"/>
          </w:tcPr>
          <w:p>
            <w:pPr>
              <w:pStyle w:val="TableBody"/>
              <w:keepNext/>
            </w:pPr>
            <w:r>
              <w:t>display（显示）</w:t>
            </w:r>
          </w:p>
        </w:tc>
        <w:tc>
          <w:tcPr>
            <w:tcW w:type="dxa" w:w="3855"/>
            <w:vAlign w:val="center"/>
          </w:tcPr>
          <w:p>
            <w:pPr>
              <w:pStyle w:val="TableBody"/>
              <w:keepNext/>
            </w:pPr>
            <w:r>
              <w:t>S1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Body"/>
              <w:keepNext/>
            </w:pPr>
            <w:r>
              <w:t>R2</w:t>
            </w:r>
          </w:p>
        </w:tc>
        <w:tc>
          <w:tcPr>
            <w:tcW w:type="dxa" w:w="3231"/>
            <w:vAlign w:val="center"/>
          </w:tcPr>
          <w:p>
            <w:pPr>
              <w:pStyle w:val="TableBody"/>
              <w:keepNext/>
            </w:pPr>
            <w:r>
              <w:t>display（显示）</w:t>
            </w:r>
          </w:p>
        </w:tc>
        <w:tc>
          <w:tcPr>
            <w:tcW w:type="dxa" w:w="3855"/>
            <w:vAlign w:val="center"/>
          </w:tcPr>
          <w:p>
            <w:pPr>
              <w:pStyle w:val="TableBody"/>
              <w:keepNext/>
            </w:pPr>
            <w:r>
              <w:t>S1、S2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Body"/>
              <w:keepNext/>
            </w:pPr>
            <w:r>
              <w:t>R3</w:t>
            </w:r>
          </w:p>
        </w:tc>
        <w:tc>
          <w:tcPr>
            <w:tcW w:type="dxa" w:w="3231"/>
            <w:vAlign w:val="center"/>
          </w:tcPr>
          <w:p>
            <w:pPr>
              <w:pStyle w:val="TableBody"/>
              <w:keepNext/>
            </w:pPr>
            <w:r>
              <w:t>display（显示）</w:t>
            </w:r>
          </w:p>
        </w:tc>
        <w:tc>
          <w:tcPr>
            <w:tcW w:type="dxa" w:w="3855"/>
            <w:vAlign w:val="center"/>
          </w:tcPr>
          <w:p>
            <w:pPr>
              <w:pStyle w:val="TableBody"/>
              <w:keepNext/>
            </w:pPr>
            <w:r>
              <w:t>S2、S3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TableBody"/>
              <w:keepNext/>
            </w:pPr>
            <w:r>
              <w:t>R4</w:t>
            </w:r>
          </w:p>
        </w:tc>
        <w:tc>
          <w:tcPr>
            <w:tcW w:type="dxa" w:w="3231"/>
            <w:vAlign w:val="center"/>
          </w:tcPr>
          <w:p>
            <w:pPr>
              <w:pStyle w:val="TableBody"/>
              <w:keepNext/>
            </w:pPr>
            <w:r>
              <w:t>display（显示）</w:t>
            </w:r>
          </w:p>
        </w:tc>
        <w:tc>
          <w:tcPr>
            <w:tcW w:type="dxa" w:w="3855"/>
            <w:vAlign w:val="center"/>
          </w:tcPr>
          <w:p>
            <w:pPr>
              <w:pStyle w:val="TableBody"/>
              <w:keepNext/>
            </w:pPr>
            <w:r>
              <w:t>S2、S3</w:t>
            </w:r>
          </w:p>
        </w:tc>
      </w:tr>
    </w:tbl>
    <w:p>
      <w:pPr>
        <w:pStyle w:val="SourceNote"/>
      </w:pPr>
      <w:r>
        <w:t>来源：第一章E01教学示例数据。</w:t>
      </w:r>
    </w:p>
    <w:p>
      <w:pPr>
        <w:pStyle w:val="Body"/>
      </w:pPr>
      <w:r>
        <w:t>安排必须同时满足五项硬约束：每个请求恰好安排一次；设备在所选时段开放；设备具备所需功能；所选时段属于请求允许范围；同一设备在同一时段最多安排一个请求。全部硬约束满足后，可以比较较早完成的偏好，但本题不规定唯一最优安排。</w:t>
      </w:r>
    </w:p>
    <w:p>
      <w:pPr>
        <w:pStyle w:val="Body"/>
      </w:pPr>
      <w:r>
        <w:rPr>
          <w:b/>
        </w:rPr>
        <w:t>任务一：重述问题。</w:t>
      </w:r>
      <w:r>
        <w:t>写出目标、输入、硬约束、偏好、输出格式及至少一个可能需要确认的问题。输出为请求编号、设备编号、时段编号三列。</w:t>
      </w:r>
    </w:p>
    <w:p>
      <w:pPr>
        <w:pStyle w:val="Body"/>
      </w:pPr>
      <w:r>
        <w:rPr>
          <w:b/>
        </w:rPr>
        <w:t>任务二：形成并检查候选。</w:t>
      </w:r>
      <w:r>
        <w:t>为每个请求列出满足功能、开放状态和请求时段限制的候选位置，选择一组完整安排。用</w:t>
      </w:r>
      <w:r>
        <w:fldChar w:fldCharType="begin"/>
      </w:r>
      <w:r>
        <w:instrText xml:space="preserve"> REF tbl1_3 \h </w:instrText>
      </w:r>
      <w:r>
        <w:fldChar w:fldCharType="separate"/>
      </w:r>
      <w:r>
        <w:t>表1-3</w:t>
      </w:r>
      <w:r>
        <w:fldChar w:fldCharType="end"/>
      </w:r>
      <w:r>
        <w:t>记录检查依据；发现冲突后重新检查全部约束。</w:t>
      </w:r>
    </w:p>
    <w:p>
      <w:pPr>
        <w:pStyle w:val="TableCaption"/>
      </w:pPr>
      <w:bookmarkStart w:id="203" w:name="tbl1_3"/>
      <w:r>
        <w:t>表</w:t>
      </w: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3</w:t>
      </w:r>
      <w:r>
        <w:fldChar w:fldCharType="end"/>
      </w:r>
      <w:bookmarkEnd w:id="203"/>
      <w:r>
        <w:t xml:space="preserve"> E01学生核验记录表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288"/>
        <w:gridCol w:w="2438"/>
        <w:gridCol w:w="3061"/>
      </w:tblGrid>
      <w:tr>
        <w:trPr>
          <w:tblHeader/>
          <w:cantSplit/>
        </w:trPr>
        <w:tc>
          <w:tcPr>
            <w:tcW w:type="dxa" w:w="32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检查项</w:t>
            </w:r>
          </w:p>
        </w:tc>
        <w:tc>
          <w:tcPr>
            <w:tcW w:type="dxa" w:w="243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你的核验结果</w:t>
            </w:r>
          </w:p>
        </w:tc>
        <w:tc>
          <w:tcPr>
            <w:tcW w:type="dxa" w:w="306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依据或说明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Body"/>
              <w:keepNext/>
            </w:pPr>
            <w:r>
              <w:t>请求各安排恰好一次</w:t>
            </w:r>
          </w:p>
        </w:tc>
        <w:tc>
          <w:tcPr>
            <w:tcW w:type="dxa" w:w="2438"/>
            <w:vAlign w:val="center"/>
          </w:tcPr>
          <w:p>
            <w:pPr>
              <w:pStyle w:val="TableBody"/>
              <w:keepNext/>
            </w:pPr>
          </w:p>
        </w:tc>
        <w:tc>
          <w:tcPr>
            <w:tcW w:type="dxa" w:w="3061"/>
            <w:vAlign w:val="center"/>
          </w:tcPr>
          <w:p>
            <w:pPr>
              <w:pStyle w:val="TableBody"/>
              <w:keepNext/>
            </w:pP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Body"/>
              <w:keepNext/>
            </w:pPr>
            <w:r>
              <w:t>功能符合请求</w:t>
            </w:r>
          </w:p>
        </w:tc>
        <w:tc>
          <w:tcPr>
            <w:tcW w:type="dxa" w:w="2438"/>
            <w:vAlign w:val="center"/>
          </w:tcPr>
          <w:p>
            <w:pPr>
              <w:pStyle w:val="TableBody"/>
              <w:keepNext/>
            </w:pPr>
          </w:p>
        </w:tc>
        <w:tc>
          <w:tcPr>
            <w:tcW w:type="dxa" w:w="3061"/>
            <w:vAlign w:val="center"/>
          </w:tcPr>
          <w:p>
            <w:pPr>
              <w:pStyle w:val="TableBody"/>
              <w:keepNext/>
            </w:pP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Body"/>
              <w:keepNext/>
            </w:pPr>
            <w:r>
              <w:t>设备在所选时段开放</w:t>
            </w:r>
          </w:p>
        </w:tc>
        <w:tc>
          <w:tcPr>
            <w:tcW w:type="dxa" w:w="2438"/>
            <w:vAlign w:val="center"/>
          </w:tcPr>
          <w:p>
            <w:pPr>
              <w:pStyle w:val="TableBody"/>
              <w:keepNext/>
            </w:pPr>
          </w:p>
        </w:tc>
        <w:tc>
          <w:tcPr>
            <w:tcW w:type="dxa" w:w="3061"/>
            <w:vAlign w:val="center"/>
          </w:tcPr>
          <w:p>
            <w:pPr>
              <w:pStyle w:val="TableBody"/>
              <w:keepNext/>
            </w:pP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Body"/>
              <w:keepNext/>
            </w:pPr>
            <w:r>
              <w:t>请求允许所选时段</w:t>
            </w:r>
          </w:p>
        </w:tc>
        <w:tc>
          <w:tcPr>
            <w:tcW w:type="dxa" w:w="2438"/>
            <w:vAlign w:val="center"/>
          </w:tcPr>
          <w:p>
            <w:pPr>
              <w:pStyle w:val="TableBody"/>
              <w:keepNext/>
            </w:pPr>
          </w:p>
        </w:tc>
        <w:tc>
          <w:tcPr>
            <w:tcW w:type="dxa" w:w="3061"/>
            <w:vAlign w:val="center"/>
          </w:tcPr>
          <w:p>
            <w:pPr>
              <w:pStyle w:val="TableBody"/>
              <w:keepNext/>
            </w:pP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pStyle w:val="TableBody"/>
              <w:keepNext/>
            </w:pPr>
            <w:r>
              <w:t>设备时段无重复占用</w:t>
            </w:r>
          </w:p>
        </w:tc>
        <w:tc>
          <w:tcPr>
            <w:tcW w:type="dxa" w:w="2438"/>
            <w:vAlign w:val="center"/>
          </w:tcPr>
          <w:p>
            <w:pPr>
              <w:pStyle w:val="TableBody"/>
              <w:keepNext/>
            </w:pPr>
          </w:p>
        </w:tc>
        <w:tc>
          <w:tcPr>
            <w:tcW w:type="dxa" w:w="3061"/>
            <w:vAlign w:val="center"/>
          </w:tcPr>
          <w:p>
            <w:pPr>
              <w:pStyle w:val="TableBody"/>
              <w:keepNext/>
            </w:pPr>
          </w:p>
        </w:tc>
      </w:tr>
    </w:tbl>
    <w:p>
      <w:pPr>
        <w:pStyle w:val="SourceNote"/>
      </w:pPr>
      <w:r>
        <w:t>来源：第一章E01核验记录表节选；空白单元格供学生填写，不表示数据缺失。</w:t>
      </w:r>
    </w:p>
    <w:p>
      <w:pPr>
        <w:pStyle w:val="Body"/>
      </w:pPr>
      <w:r>
        <w:rPr>
          <w:b/>
        </w:rPr>
        <w:t>任务三：处理变化。</w:t>
      </w:r>
      <w:r>
        <w:t>现在D2关闭，其可用时段变为空集合。重新判断四个请求能否全部满足原有硬约束。给出可行安排或无解依据；协商建议单独标明改动及待确认事项，不得当作原条件下的可行解。</w:t>
      </w:r>
    </w:p>
    <w:p>
      <w:pPr>
        <w:pStyle w:val="Body"/>
      </w:pPr>
      <w:r>
        <w:rPr>
          <w:b/>
        </w:rPr>
        <w:t>评价标准。</w:t>
      </w:r>
      <w:r>
        <w:t>检查条件是否完整、表示是否清楚、候选是否满足全部硬约束、结论是否区分可行与无解及待协商、修正是否有依据。评价推理和检查质量，不以工具数量或表格是否整齐作为依据。参考解见章末“参考解与讨论”的E01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跨页表格测试</w:t>
      </w:r>
    </w:p>
    <w:p>
      <w:pPr>
        <w:pStyle w:val="Body"/>
      </w:pPr>
      <w:r>
        <w:fldChar w:fldCharType="begin"/>
      </w:r>
      <w:r>
        <w:instrText xml:space="preserve"> REF tbl1_4 \h </w:instrText>
      </w:r>
      <w:r>
        <w:fldChar w:fldCharType="separate"/>
      </w:r>
      <w:r>
        <w:t>表1-4</w:t>
      </w:r>
      <w:r>
        <w:fldChar w:fldCharType="end"/>
      </w:r>
      <w:r>
        <w:t>的核验记录仅用于版式压力测试，不是E01参考答案。用连续记录检验三线表、跨页重复表头与普通行不拆页；各行是模拟的检查说明。</w:t>
      </w:r>
    </w:p>
    <w:p>
      <w:pPr>
        <w:pStyle w:val="TableCaption"/>
      </w:pPr>
      <w:bookmarkStart w:id="204" w:name="tbl1_4"/>
      <w:r>
        <w:t>表</w:t>
      </w: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4</w:t>
      </w:r>
      <w:r>
        <w:fldChar w:fldCharType="end"/>
      </w:r>
      <w:bookmarkEnd w:id="204"/>
      <w:r>
        <w:t xml:space="preserve"> 跨页核验记录示例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020"/>
        <w:gridCol w:w="1928"/>
        <w:gridCol w:w="5839"/>
      </w:tblGrid>
      <w:tr>
        <w:trPr>
          <w:tblHeader/>
          <w:cantSplit/>
        </w:trPr>
        <w:tc>
          <w:tcPr>
            <w:tcW w:type="dxa" w:w="1020"/>
            <w:vAlign w:val="center"/>
            <w:tcBorders>
              <w:bottom w:val="single" w:sz="4" w:color="000000"/>
            </w:tcBorders>
          </w:tcPr>
          <w:p>
            <w:pPr>
              <w:pStyle w:val="TableBody"/>
            </w:pPr>
            <w:r>
              <w:rPr>
                <w:b/>
              </w:rPr>
              <w:t>记录</w:t>
            </w:r>
          </w:p>
        </w:tc>
        <w:tc>
          <w:tcPr>
            <w:tcW w:type="dxa" w:w="1928"/>
            <w:vAlign w:val="center"/>
            <w:tcBorders>
              <w:bottom w:val="single" w:sz="4" w:color="000000"/>
            </w:tcBorders>
          </w:tcPr>
          <w:p>
            <w:pPr>
              <w:pStyle w:val="TableBody"/>
            </w:pPr>
            <w:r>
              <w:rPr>
                <w:b/>
              </w:rPr>
              <w:t>检查关注点</w:t>
            </w:r>
          </w:p>
        </w:tc>
        <w:tc>
          <w:tcPr>
            <w:tcW w:type="dxa" w:w="5839"/>
            <w:vAlign w:val="center"/>
            <w:tcBorders>
              <w:bottom w:val="single" w:sz="4" w:color="000000"/>
            </w:tcBorders>
          </w:tcPr>
          <w:p>
            <w:pPr>
              <w:pStyle w:val="TableBody"/>
            </w:pPr>
            <w:r>
              <w:rPr>
                <w:b/>
              </w:rPr>
              <w:t>模拟检查说明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T01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对象标识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核对编号是否唯一，原始记录和检查记录是否能够对应；异常位置单独记下，不能用空白表示已经通过。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T02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开放时段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按当前数据核对可用时段，说明所依据的版本；资源发生变化后，旧结论只能作为历史记录保留。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T03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功能对应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逐项核对所需功能与资源功能，记录比较依据；不将名称相似当成条件已经满足的证据。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T04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请求时段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检查请求允许范围与已选时段，保留具体比较结果；涉及待确认事项时，明确写出下一步需要的信息。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T05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整体占用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对所有资源时段位置作共同占用检查，区别局部条件与整体条件；说明冲突如何被定位和复查。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T06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条件变化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记录变化前后数据及重新检查范围，区分未找到、无解和待协商提案；不复用失效的结论。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T07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对象标识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核对编号是否唯一，原始记录和检查记录是否能够对应；异常位置单独记下，不能用空白表示已经通过。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T08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开放时段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按当前数据核对可用时段，说明所依据的版本；资源发生变化后，旧结论只能作为历史记录保留。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T09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功能对应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逐项核对所需功能与资源功能，记录比较依据；不将名称相似当成条件已经满足的证据。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T10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请求时段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检查请求允许范围与已选时段，保留具体比较结果；涉及待确认事项时，明确写出下一步需要的信息。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</w:pPr>
            <w:r>
              <w:t>T11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</w:pPr>
            <w:r>
              <w:t>整体占用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</w:pPr>
            <w:r>
              <w:t>对所有资源时段位置作共同占用检查，区别局部条件与整体条件；说明冲突如何被定位和复查。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pStyle w:val="TableBody"/>
              <w:keepNext/>
            </w:pPr>
            <w:r>
              <w:t>T12</w:t>
            </w:r>
          </w:p>
        </w:tc>
        <w:tc>
          <w:tcPr>
            <w:tcW w:type="dxa" w:w="1928"/>
            <w:vAlign w:val="center"/>
          </w:tcPr>
          <w:p>
            <w:pPr>
              <w:pStyle w:val="TableBody"/>
              <w:keepNext/>
            </w:pPr>
            <w:r>
              <w:t>条件变化</w:t>
            </w:r>
          </w:p>
        </w:tc>
        <w:tc>
          <w:tcPr>
            <w:tcW w:type="dxa" w:w="5839"/>
            <w:vAlign w:val="center"/>
          </w:tcPr>
          <w:p>
            <w:pPr>
              <w:pStyle w:val="TableBody"/>
              <w:keepNext/>
            </w:pPr>
            <w:r>
              <w:t>记录变化前后数据及重新检查范围，区分未找到、无解和待协商提案；不复用失效的结论。</w:t>
            </w:r>
          </w:p>
        </w:tc>
      </w:tr>
    </w:tbl>
    <w:p>
      <w:pPr>
        <w:pStyle w:val="SourceNote"/>
      </w:pPr>
      <w:r>
        <w:t>来源：本样张自拟版式测试记录，不属于第一章练习数据。</w:t>
      </w:r>
      <w:bookmarkEnd w:id="500"/>
    </w:p>
    <w:p>
      <w:pPr>
        <w:pStyle w:val="SectionTitle"/>
      </w:pPr>
      <w:r>
        <w:t>本章回顾</w:t>
      </w:r>
    </w:p>
    <w:p>
      <w:pPr>
        <w:pStyle w:val="Body"/>
      </w:pPr>
      <w:r>
        <w:t>表示是为任务作出的选择。候选的单项条件与资源共同占用必须分别检查；条件变化后重新判断结论。请保留一条失败候选，说明它如何改变了你的表示或步骤。</w:t>
      </w:r>
    </w:p>
    <w:p>
      <w:pPr>
        <w:pStyle w:val="SectionTitle"/>
      </w:pPr>
      <w:r>
        <w:t>关键术语</w:t>
      </w:r>
    </w:p>
    <w:p>
      <w:pPr>
        <w:pStyle w:val="Body"/>
      </w:pPr>
      <w:r>
        <w:rPr>
          <w:b/>
        </w:rPr>
        <w:t>硬约束：</w:t>
      </w:r>
      <w:r>
        <w:t>决定方案是否合格的条件。</w:t>
      </w:r>
      <w:r>
        <w:rPr>
          <w:b/>
        </w:rPr>
        <w:t>偏好：</w:t>
      </w:r>
      <w:r>
        <w:t>在合格候选之间进行比较的依据。</w:t>
      </w:r>
      <w:r>
        <w:rPr>
          <w:b/>
        </w:rPr>
        <w:t>无解：</w:t>
      </w:r>
      <w:r>
        <w:t>有证据表明不存在满足当前全部硬约束的安排。</w:t>
      </w:r>
    </w:p>
    <w:p>
      <w:pPr>
        <w:pStyle w:val="SectionTitle"/>
      </w:pPr>
      <w:r>
        <w:t>参考解与讨论</w:t>
      </w:r>
    </w:p>
    <w:p>
      <w:pPr>
        <w:pStyle w:val="SubsectionTitle"/>
      </w:pPr>
      <w:r>
        <w:t>E01 安排与条件变化</w:t>
      </w:r>
    </w:p>
    <w:p>
      <w:pPr>
        <w:pStyle w:val="Body"/>
      </w:pPr>
      <w:r>
        <w:t>原条件下，一组可行安排见</w:t>
      </w:r>
      <w:r>
        <w:fldChar w:fldCharType="begin"/>
      </w:r>
      <w:r>
        <w:instrText xml:space="preserve"> REF tbl1_5 \h </w:instrText>
      </w:r>
      <w:r>
        <w:fldChar w:fldCharType="separate"/>
      </w:r>
      <w:r>
        <w:t>表1-5</w:t>
      </w:r>
      <w:r>
        <w:fldChar w:fldCharType="end"/>
      </w:r>
      <w:r>
        <w:t>。</w:t>
      </w:r>
    </w:p>
    <w:p>
      <w:pPr>
        <w:pStyle w:val="TableCaption"/>
      </w:pPr>
      <w:bookmarkStart w:id="205" w:name="tbl1_5"/>
      <w:r>
        <w:t>表</w:t>
      </w: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5</w:t>
      </w:r>
      <w:r>
        <w:fldChar w:fldCharType="end"/>
      </w:r>
      <w:bookmarkEnd w:id="205"/>
      <w:r>
        <w:t xml:space="preserve"> E01参考安排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948"/>
        <w:gridCol w:w="2948"/>
        <w:gridCol w:w="2891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请求编号</w:t>
            </w:r>
          </w:p>
        </w:tc>
        <w:tc>
          <w:tcPr>
            <w:tcW w:type="dxa" w:w="294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设备编号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</w:pPr>
            <w:r>
              <w:rPr>
                <w:b/>
              </w:rPr>
              <w:t>时段编号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R1</w:t>
            </w:r>
          </w:p>
        </w:tc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D1</w:t>
            </w:r>
          </w:p>
        </w:tc>
        <w:tc>
          <w:tcPr>
            <w:tcW w:type="dxa" w:w="2891"/>
            <w:vAlign w:val="center"/>
          </w:tcPr>
          <w:p>
            <w:pPr>
              <w:pStyle w:val="TableBody"/>
              <w:keepNext/>
            </w:pPr>
            <w:r>
              <w:t>S1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R2</w:t>
            </w:r>
          </w:p>
        </w:tc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D1</w:t>
            </w:r>
          </w:p>
        </w:tc>
        <w:tc>
          <w:tcPr>
            <w:tcW w:type="dxa" w:w="2891"/>
            <w:vAlign w:val="center"/>
          </w:tcPr>
          <w:p>
            <w:pPr>
              <w:pStyle w:val="TableBody"/>
              <w:keepNext/>
            </w:pPr>
            <w:r>
              <w:t>S2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R3</w:t>
            </w:r>
          </w:p>
        </w:tc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D2</w:t>
            </w:r>
          </w:p>
        </w:tc>
        <w:tc>
          <w:tcPr>
            <w:tcW w:type="dxa" w:w="2891"/>
            <w:vAlign w:val="center"/>
          </w:tcPr>
          <w:p>
            <w:pPr>
              <w:pStyle w:val="TableBody"/>
              <w:keepNext/>
            </w:pPr>
            <w:r>
              <w:t>S2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R4</w:t>
            </w:r>
          </w:p>
        </w:tc>
        <w:tc>
          <w:tcPr>
            <w:tcW w:type="dxa" w:w="2948"/>
            <w:vAlign w:val="center"/>
          </w:tcPr>
          <w:p>
            <w:pPr>
              <w:pStyle w:val="TableBody"/>
              <w:keepNext/>
            </w:pPr>
            <w:r>
              <w:t>D1</w:t>
            </w:r>
          </w:p>
        </w:tc>
        <w:tc>
          <w:tcPr>
            <w:tcW w:type="dxa" w:w="2891"/>
            <w:vAlign w:val="center"/>
          </w:tcPr>
          <w:p>
            <w:pPr>
              <w:pStyle w:val="TableBody"/>
              <w:keepNext/>
            </w:pPr>
            <w:r>
              <w:t>S3</w:t>
            </w:r>
          </w:p>
        </w:tc>
      </w:tr>
    </w:tbl>
    <w:p>
      <w:pPr>
        <w:pStyle w:val="SourceNote"/>
      </w:pPr>
      <w:r>
        <w:t>来源：第一章E01参考解；该安排不是唯一解。</w:t>
      </w:r>
    </w:p>
    <w:p>
      <w:pPr>
        <w:pStyle w:val="Body"/>
      </w:pPr>
      <w:r>
        <w:t>R1只允许S1，D1具备显示功能并在S1开放；R2允许S1或S2，使用开放的D1和S2；R3允许S2或S3，使用开放的D2和S2；R4允许S2或S3，使用开放的D1和S3。四个请求各出现一次，D1—S1、D1—S2、D2—S2、D1—S3互不重复。因此该安排满足全部硬约束。按题目给定数据和规则有限枚举，原条件有十二组可行安排。</w:t>
      </w:r>
    </w:p>
    <w:p>
      <w:pPr>
        <w:pStyle w:val="Body"/>
      </w:pPr>
      <w:r>
        <w:t>D2关闭后，D1只有S1、S2、S3三个设备—时段位置，四个请求却各需独占一个位置。因此原条件下不存在完整安排。增加设备、开放新时段或确认替代时段是改变题目条件的协商提案，应在确认后更新数据并重新检查。</w:t>
      </w:r>
    </w:p>
    <w:p>
      <w:pPr>
        <w:pStyle w:val="Body"/>
      </w:pPr>
      <w:r>
        <w:t>这项练习说明，资源或规则变化后应重新检验可行性。请将自己的记录与参考解比较：原方案在哪项约束下失败？你的结论依据是全部候选、资源位置数量，还是仅仅几次未成功的尝试？</w:t>
      </w:r>
    </w:p>
    <w:p>
      <w:pPr>
        <w:pStyle w:val="SectionTitle"/>
      </w:pPr>
      <w:r>
        <w:t>参考文献</w:t>
      </w:r>
    </w:p>
    <w:p>
      <w:pPr>
        <w:pStyle w:val="Reference"/>
      </w:pPr>
      <w:r>
        <w:t>[1]</w:t>
        <w:tab/>
        <w:t>Wing J M. Computational Thinking[J/OL]. Communications of the ACM, 2006, 49(3): 33-35. https://doi.org/10.1145/1118178.1118215.</w:t>
      </w:r>
    </w:p>
    <w:p>
      <w:pPr>
        <w:pStyle w:val="Reference"/>
      </w:pPr>
      <w:r>
        <w:t>[2]</w:t>
        <w:tab/>
        <w:t>Autio C, Schwartz R, Dunietz J, et al. Artificial Intelligence Risk Management Framework: Generative Artificial Intelligence Profile: NIST AI 600-1[R/OL]. 2024-07-26: 6. https://doi.org/10.6028/NIST.AI.600-1.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STYLEREF ChapterTitle </w:instrText>
    </w:r>
    <w:r>
      <w:fldChar w:fldCharType="separate"/>
    </w:r>
    <w:r>
      <w:t>计算思维：从现实问题到可检验的解决过程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教材格式试排样张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