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2937"/>
          <w:sz w:val="42"/>
          <w:szCs w:val="42"/>
        </w:rPr>
        <w:t xml:space="preserve">Supply Chain Intelligence Center</w:t>
      </w:r>
    </w:p>
    <w:p>
      <w:pPr>
        <w:spacing w:after="60"/>
        <w:jc w:val="center"/>
      </w:pPr>
      <w:r>
        <w:rPr>
          <w:color w:val="6B7280"/>
          <w:sz w:val="24"/>
          <w:szCs w:val="24"/>
        </w:rPr>
        <w:t xml:space="preserve">Technical Data Specification — Data Lineage, Field Dictionary &amp; Calculated Metrics</w:t>
      </w:r>
    </w:p>
    <w:p>
      <w:pPr>
        <w:spacing w:after="500"/>
        <w:jc w:val="center"/>
      </w:pPr>
      <w:r>
        <w:rPr>
          <w:color w:val="6B7280"/>
          <w:sz w:val="19"/>
          <w:szCs w:val="19"/>
        </w:rPr>
        <w:t xml:space="preserve">Companion document to PRD  |  Prepared by: Regi  |  Status: Draft v0.1</w:t>
      </w:r>
    </w:p>
    <w:p>
      <w:pPr>
        <w:pStyle w:val="Heading1"/>
        <w:spacing w:after="180" w:before="380"/>
      </w:pPr>
      <w:r>
        <w:t xml:space="preserve">1. Ruang Lingkup Dokumen</w:t>
      </w:r>
    </w:p>
    <w:p>
      <w:pPr>
        <w:spacing w:after="140"/>
      </w:pPr>
      <w:r>
        <w:t xml:space="preserve">Dokumen ini adalah pendamping teknis dari PRD Supply Chain Intelligence Center (SCIC). Tujuannya adalah mendefinisikan struktur data yang dipakai pada MVP demo (dummy data) secara reliable, yaitu: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Sistem sumber (source system) mana yang menjadi origin tiap data.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Field-level data dictionary dari tiap entitas mentah.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Data lineage: bagaimana field mentah bertransformasi menjadi calculated field lalu menjadi metric/insight yang tampil di dashboard.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Threshold &amp; kategori yang menentukan status/warna/label pada tiap metric.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Kebutuhan file dummy data (nama file, kolom, estimasi jumlah baris) untuk fase build.</w:t>
      </w:r>
    </w:p>
    <w:p>
      <w:pPr>
        <w:spacing w:after="140"/>
      </w:pPr>
      <w:r>
        <w:t xml:space="preserve">Dengan dokumen ini, struktur dummy data pada MVP dapat langsung dipetakan ke sistem produksi nyata pada fase implementasi berikutnya tanpa perlu merombak ulang logika metric.</w:t>
      </w:r>
    </w:p>
    <w:p>
      <w:pPr>
        <w:pStyle w:val="Heading1"/>
        <w:spacing w:after="180" w:before="380"/>
      </w:pPr>
      <w:r>
        <w:t xml:space="preserve">2. Sumber Data (Source Systems)</w:t>
      </w:r>
    </w:p>
    <w:p>
      <w:pPr>
        <w:spacing w:after="140"/>
      </w:pPr>
      <w:r>
        <w:t xml:space="preserve">Demo ini merepresentasikan 3 sistem operasional inti sebagai sumber data utama — sesuai dengan Cross-System Multi-Identifier Connection Logic pada modul Invoice Matching Intelligence — ditambah 1 sistem pendukung (logistik/kepabeanan) yang memperkaya konteks pada Dashboard.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400"/>
        <w:gridCol w:w="3000"/>
      </w:tblGrid>
      <w:tr>
        <w:trPr>
          <w:tblHeader/>
        </w:trPr>
        <w:tc>
          <w:tcPr>
            <w:tcW w:type="dxa" w:w="15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SISTEM</w:t>
            </w:r>
          </w:p>
        </w:tc>
        <w:tc>
          <w:tcPr>
            <w:tcW w:type="dxa" w:w="26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FUNGSI / ENTITAS UTAMA</w:t>
            </w:r>
          </w:p>
        </w:tc>
        <w:tc>
          <w:tcPr>
            <w:tcW w:type="dxa" w:w="24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PROTOKOL (KONSEPTUAL)</w:t>
            </w:r>
          </w:p>
        </w:tc>
        <w:tc>
          <w:tcPr>
            <w:tcW w:type="dxa" w:w="30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DIPAKAI PADA MODUL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① SAP S/4HANA ERP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Financial &amp; production master data: Invoice, Purchase Order (referensi), Production Order, Delivery Order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OData API / RFC Gateway — sinkron harian (batch)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Dashboard, Invoice Matching, Demand Forecasting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② Indoprima WMS
(Warehouse Mgmt)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Inventory dock receipt &amp; shipping manifest: Shipment/Resi, Inventory Snapshot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MQTT / REST Webhooks — real-time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Dashboard, Invoice Matching, Demand Forecasting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③ E-Procurement Supplier Portal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Purchase Order &amp; Supplier Invoice: PO, Supplier Master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HTTPS REST / EDIFACT Gateway — sinkron per 15 menit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Invoice Matching, Demand Forecasting (lead time)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④ Tanjung Perak Port Customs Telemetry (pendukung)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Export/import logistics tracking untuk risiko keterlambatan pengiriman lintas pelabuhan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Government Logistics API — sinkron per jam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Dashboard (Early Warning: Delivery Delay)</w:t>
            </w:r>
          </w:p>
        </w:tc>
      </w:tr>
    </w:tbl>
    <w:p>
      <w:pPr>
        <w:spacing w:after="140"/>
      </w:pPr>
      <w:r>
        <w:t xml:space="preserve">Catatan: pada MVP, keempat "sistem" ini disimulasikan sebagai file dummy terpisah (lihat Bagian 7) yang secara struktur field meniru output API/tabel sistem aslinya, agar transisi ke integrasi nyata pada fase berikutnya minim perubahan skema.</w:t>
      </w:r>
    </w:p>
    <w:p>
      <w:pPr>
        <w:pStyle w:val="Heading1"/>
        <w:spacing w:after="180" w:before="380"/>
      </w:pPr>
      <w:r>
        <w:t xml:space="preserve">3. Data Dictionary (Entitas &amp; Field Mentah)</w:t>
      </w:r>
    </w:p>
    <w:p>
      <w:pPr>
        <w:spacing w:after="140"/>
      </w:pPr>
      <w:r>
        <w:t xml:space="preserve">Berikut daftar entitas data mentah beserta field-nya. Field bertanda (H) adalah field yang menjadi target proses harmonisasi (lihat Bagian 4).</w:t>
      </w:r>
    </w:p>
    <w:p>
      <w:pPr>
        <w:pStyle w:val="Heading2"/>
        <w:spacing w:after="130" w:before="260"/>
      </w:pPr>
      <w:r>
        <w:t xml:space="preserve">3.1 Master Data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5600"/>
      </w:tblGrid>
      <w:tr>
        <w:trPr>
          <w:tblHeader/>
        </w:trPr>
        <w:tc>
          <w:tcPr>
            <w:tcW w:type="dxa" w:w="17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ENTITAS</w:t>
            </w:r>
          </w:p>
        </w:tc>
        <w:tc>
          <w:tcPr>
            <w:tcW w:type="dxa" w:w="22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56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DESKRIPSI &amp; CONTOH NILAI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supplier_master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(Sumber: ERP, WMS, Procurement Portal — 3 representasi per supplier)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supplier_id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supplier_name_raw (H)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source_system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tax_id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harmonized_supplier_id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harmonized_supplier_name</w:t>
            </w:r>
          </w:p>
        </w:tc>
        <w:tc>
          <w:tcPr>
            <w:tcW w:type="dxa" w:w="5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ID unik per baris raw; nama supplier apa adanya dari tiap sistem (mis. "PT Steelindo Utama Tbk" / "PT Steelindo" / "Steelindo Indo"); sistem asal; Tax ID (kunci utama pencocokan); ID &amp; nama hasil harmonisasi (mis. "PT Steelindo Utama").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product_master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(Sumber: ERP Part Catalog, WMS SKU, deskripsi lokal)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product_id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product_code_raw (H)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product_description_raw (H)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uom_raw (H)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source_system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harmonized_product_id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harmonized_product_name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harmonized_uom</w:t>
            </w:r>
          </w:p>
        </w:tc>
        <w:tc>
          <w:tcPr>
            <w:tcW w:type="dxa" w:w="5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Kode &amp; deskripsi produk sesuai sistem asal (mis. "AF-M10-ST-2026" / "Fastener M10 Steel" / "Baut M10 Otomotif"); satuan mentah (mis. "BOX (100 Pcs)"); hasil standardisasi taksonomi part (mis. "Engine Fastener M10 Steel (AF-M10-ST)").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sz w:val="17"/>
                <w:szCs w:val="17"/>
              </w:rPr>
              <w:t xml:space="preserve">plant_master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plant_id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plant_name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location_code (H)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facility_type</w:t>
            </w:r>
          </w:p>
        </w:tc>
        <w:tc>
          <w:tcPr>
            <w:tcW w:type="dxa" w:w="5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Referensi fasilitas operasi, mis. Surabaya, Karawang.</w:t>
            </w:r>
          </w:p>
        </w:tc>
      </w:tr>
    </w:tbl>
    <w:p>
      <w:pPr>
        <w:pStyle w:val="Heading2"/>
        <w:spacing w:after="130" w:before="260"/>
      </w:pPr>
      <w:r>
        <w:t xml:space="preserve">3.2 Transaksional — Invoice Matching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5600"/>
      </w:tblGrid>
      <w:tr>
        <w:trPr>
          <w:tblHeader/>
        </w:trPr>
        <w:tc>
          <w:tcPr>
            <w:tcW w:type="dxa" w:w="17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ENTITAS</w:t>
            </w:r>
          </w:p>
        </w:tc>
        <w:tc>
          <w:tcPr>
            <w:tcW w:type="dxa" w:w="22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56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DESKRIPSI &amp; CONTOH NILAI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purchase_order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(Sumber: Procurement Portal)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po_number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po_date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supplier_id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product_id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po_qty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unit_price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po_amount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plant_id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po_status</w:t>
            </w:r>
          </w:p>
        </w:tc>
        <w:tc>
          <w:tcPr>
            <w:tcW w:type="dxa" w:w="5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Contoh: PO-77820-PT, qty 1.000 pcs, amount $25.000, status Open/Closed.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invoice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(Sumber: SAP ERP)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invoice_id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invoice_date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po_number (ref)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supplier_id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product_id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invoiced_qty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unit_price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invoice_amount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currency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erp_supplier_name_raw</w:t>
            </w:r>
          </w:p>
        </w:tc>
        <w:tc>
          <w:tcPr>
            <w:tcW w:type="dxa" w:w="5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Contoh: INV-2026-0892, qty tertagih 1.000 pcs, amount $25.000, currency USD (asumsi demo; produksi nyata dapat memakai IDR).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shipment_resi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(Sumber: WMS)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resi_number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shipment_date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po_number (ref)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supplier_id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product_id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received_qty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warehouse_dock_id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receiving_note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damage_flag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wms_supplier_name_raw</w:t>
            </w:r>
          </w:p>
        </w:tc>
        <w:tc>
          <w:tcPr>
            <w:tcW w:type="dxa" w:w="5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Contoh: RESI-IND-88219, received_qty 950 pcs (selisih dari PO 1.000 pcs), damage_flag = true, receiving_note = "damaged pallet on arrival".</w:t>
            </w:r>
          </w:p>
        </w:tc>
      </w:tr>
    </w:tbl>
    <w:p>
      <w:pPr>
        <w:pStyle w:val="Heading2"/>
        <w:spacing w:after="130" w:before="260"/>
      </w:pPr>
      <w:r>
        <w:t xml:space="preserve">3.3 Transaksional — Produksi &amp; Pengiriman (Dashboard)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5600"/>
      </w:tblGrid>
      <w:tr>
        <w:trPr>
          <w:tblHeader/>
        </w:trPr>
        <w:tc>
          <w:tcPr>
            <w:tcW w:type="dxa" w:w="17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ENTITAS</w:t>
            </w:r>
          </w:p>
        </w:tc>
        <w:tc>
          <w:tcPr>
            <w:tcW w:type="dxa" w:w="22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56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DESKRIPSI &amp; CONTOH NILAI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production_order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(Sumber: ERP)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production_order_id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plant_id, line_id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product_id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planned_qty, actual_qty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planned_start, planned_end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actual_start, actual_end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downtime_hours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downtime_reason</w:t>
            </w:r>
          </w:p>
        </w:tc>
        <w:tc>
          <w:tcPr>
            <w:tcW w:type="dxa" w:w="5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Contoh: Line 3 Surabaya, downtime_hours 14, downtime_reason "unscheduled hydraulic calibration", menyebabkan backlog 1.200 unit.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delivery_order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(Sumber: ERP + WMS)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delivery_order_id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customer_id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product_id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promised_delivery_date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actual_delivery_date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qty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order_value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plant_id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delivery_status</w:t>
            </w:r>
          </w:p>
        </w:tc>
        <w:tc>
          <w:tcPr>
            <w:tcW w:type="dxa" w:w="5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Basis perhitungan On-Time Delivery Rate &amp; At-Risk Delivery Orders. Contoh: 8 order senilai $184.000 berpotensi telat +3 hari.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logistics_telemetry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(Sumber: Port Customs)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shipment_export_id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port_code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customs_status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queue_time_hours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expected_ship_date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actual_ship_date</w:t>
            </w:r>
          </w:p>
        </w:tc>
        <w:tc>
          <w:tcPr>
            <w:tcW w:type="dxa" w:w="5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Contoh: Tanjung Perak, queue_time_hours naik 42%, menyebabkan +2.5 hari delay ekspor ke hub Thailand.</w:t>
            </w:r>
          </w:p>
        </w:tc>
      </w:tr>
    </w:tbl>
    <w:p>
      <w:pPr>
        <w:pStyle w:val="Heading2"/>
        <w:spacing w:after="130" w:before="260"/>
      </w:pPr>
      <w:r>
        <w:t xml:space="preserve">3.4 Transaksional — Demand &amp; Inventory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5600"/>
      </w:tblGrid>
      <w:tr>
        <w:trPr>
          <w:tblHeader/>
        </w:trPr>
        <w:tc>
          <w:tcPr>
            <w:tcW w:type="dxa" w:w="17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ENTITAS</w:t>
            </w:r>
          </w:p>
        </w:tc>
        <w:tc>
          <w:tcPr>
            <w:tcW w:type="dxa" w:w="22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56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DESKRIPSI &amp; CONTOH NILAI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demand_history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(Sumber: ERP Sales/Demand Planning)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sku_id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period (bulan)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actual_demand_qty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customer_segment</w:t>
            </w:r>
          </w:p>
        </w:tc>
        <w:tc>
          <w:tcPr>
            <w:tcW w:type="dxa" w:w="5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Deret waktu bulanan per SKU, minimal 6 bulan historis (idealnya 12 bulan untuk menangkap pola musiman).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inventory_snapshot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(Sumber: WMS)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sku_id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warehouse_id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snapshot_date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on_hand_qty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safety_stock_qty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reorder_point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lead_time_days</w:t>
            </w:r>
          </w:p>
        </w:tc>
        <w:tc>
          <w:tcPr>
            <w:tcW w:type="dxa" w:w="5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Contoh: SKU AF-M10-ST, on_hand_qty 10.000, safety_stock 3.500, lead_time_days 14.</w:t>
            </w:r>
          </w:p>
        </w:tc>
      </w:tr>
    </w:tbl>
    <w:p>
      <w:pPr>
        <w:pStyle w:val="Heading2"/>
        <w:spacing w:after="130" w:before="260"/>
      </w:pPr>
      <w:r>
        <w:t xml:space="preserve">3.5 Data Hasil Proses AI (bukan raw source, di-generate oleh engine)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200"/>
        <w:gridCol w:w="5600"/>
      </w:tblGrid>
      <w:tr>
        <w:trPr>
          <w:tblHeader/>
        </w:trPr>
        <w:tc>
          <w:tcPr>
            <w:tcW w:type="dxa" w:w="17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ENTITAS</w:t>
            </w:r>
          </w:p>
        </w:tc>
        <w:tc>
          <w:tcPr>
            <w:tcW w:type="dxa" w:w="22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56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DESKRIPSI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risk_event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(Early Warning Log)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event_id, risk_category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risk_level, confidence_prob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description, potential_impact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detected_at, status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related_entity_ids</w:t>
            </w:r>
          </w:p>
        </w:tc>
        <w:tc>
          <w:tcPr>
            <w:tcW w:type="dxa" w:w="5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Hasil scoring model/rule-engine atas data mentah — lihat Bagian 5 &amp; 6 untuk cara perhitungan &amp; kategorisasi.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ai_insight_log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(Priority Insight)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insight_id, module, priority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title, summary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contributing_factors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confidence_score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business_impact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recommended_action, created_at</w:t>
            </w:r>
          </w:p>
        </w:tc>
        <w:tc>
          <w:tcPr>
            <w:tcW w:type="dxa" w:w="5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Output AI Priority Decision Insights pada Dashboard.</w:t>
            </w:r>
          </w:p>
        </w:tc>
      </w:tr>
      <w:tr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7"/>
                <w:szCs w:val="17"/>
              </w:rPr>
              <w:t xml:space="preserve">audit_log</w:t>
            </w:r>
          </w:p>
          <w:p>
            <w:pPr>
              <w:spacing w:after="0"/>
            </w:pPr>
            <w:r>
              <w:rPr>
                <w:b w:val="false"/>
                <w:bCs w:val="false"/>
                <w:sz w:val="17"/>
                <w:szCs w:val="17"/>
              </w:rPr>
              <w:t xml:space="preserve">(Human-in-the-Loop)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log_id, module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original_ai_proposal</w:t>
            </w:r>
          </w:p>
          <w:p>
            <w:pPr>
              <w:spacing w:after="40"/>
            </w:pPr>
            <w:r>
              <w:rPr>
                <w:sz w:val="17"/>
                <w:szCs w:val="17"/>
              </w:rPr>
              <w:t xml:space="preserve">human_decision, decision_role</w:t>
            </w:r>
          </w:p>
          <w:p>
            <w:pPr>
              <w:spacing w:after="0"/>
            </w:pPr>
            <w:r>
              <w:rPr>
                <w:sz w:val="17"/>
                <w:szCs w:val="17"/>
              </w:rPr>
              <w:t xml:space="preserve">note, timestamp</w:t>
            </w:r>
          </w:p>
        </w:tc>
        <w:tc>
          <w:tcPr>
            <w:tcW w:type="dxa" w:w="5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Rekam jejak immutable atas setiap keputusan human terhadap proposal AI.</w:t>
            </w:r>
          </w:p>
        </w:tc>
      </w:tr>
    </w:tbl>
    <w:p>
      <w:r>
        <w:br w:type="page"/>
      </w:r>
    </w:p>
    <w:p>
      <w:pPr>
        <w:pStyle w:val="Heading1"/>
        <w:spacing w:after="180" w:before="380"/>
      </w:pPr>
      <w:r>
        <w:t xml:space="preserve">4. Master Data Harmonization — Mapping Rules</w:t>
      </w:r>
    </w:p>
    <w:p>
      <w:pPr>
        <w:spacing w:after="140"/>
      </w:pPr>
      <w:r>
        <w:t xml:space="preserve">Field bertanda (H) pada Bagian 3 melewati proses harmonisasi berikut sebelum dipakai pada calculated field manapun: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000"/>
        <w:gridCol w:w="1900"/>
      </w:tblGrid>
      <w:tr>
        <w:trPr>
          <w:tblHeader/>
        </w:trPr>
        <w:tc>
          <w:tcPr>
            <w:tcW w:type="dxa" w:w="22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ATRIBUT</w:t>
            </w:r>
          </w:p>
        </w:tc>
        <w:tc>
          <w:tcPr>
            <w:tcW w:type="dxa" w:w="32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METODE HARMONISASI</w:t>
            </w:r>
          </w:p>
        </w:tc>
        <w:tc>
          <w:tcPr>
            <w:tcW w:type="dxa" w:w="20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OUTPUT</w:t>
            </w:r>
          </w:p>
        </w:tc>
        <w:tc>
          <w:tcPr>
            <w:tcW w:type="dxa" w:w="19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CONFIDENCE (CONTOH)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Supplier Name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Exact match Tax ID → fallback Levenshtein fuzzy string matching antar representasi nama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harmonized_supplier_name (golden record)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98%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Product Description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Semantic embedding similarity + mapping ke taksonomi part standar OEM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harmonized_product_name (golden record)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95%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Unit of Measure (UOM)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Lookup table konversi satuan (mis. BOX(100pcs) → PCS)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harmonized_uom + conversion_factor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99%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Location Code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Lookup table kode plant/gudang antar sistem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harmonized_location_code</w:t>
            </w:r>
          </w:p>
        </w:tc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97%</w:t>
            </w:r>
          </w:p>
        </w:tc>
      </w:tr>
    </w:tbl>
    <w:p>
      <w:pPr>
        <w:spacing w:after="140"/>
      </w:pPr>
      <w:r>
        <w:t xml:space="preserve">Confidence harmonisasi menjadi salah satu komponen AI Matching Confidence Score pada Bagian 5 (baris Invoice Matching).</w:t>
      </w:r>
    </w:p>
    <w:p>
      <w:pPr>
        <w:pStyle w:val="Heading1"/>
        <w:spacing w:after="180" w:before="380"/>
      </w:pPr>
      <w:r>
        <w:t xml:space="preserve">5. Data Lineage — Dari Field Mentah ke Metric/Insight</w:t>
      </w:r>
    </w:p>
    <w:p>
      <w:pPr>
        <w:spacing w:after="140"/>
      </w:pPr>
      <w:r>
        <w:t xml:space="preserve">Tabel ini adalah inti dokumen: menunjukkan bagaimana tiap metric/insight yang tampil di UI dibentuk dari field mentah, formula/transformasi yang dipakai, serta ke threshold &amp; kategori mana ia dipetakan (detail threshold di Bagian 6).</w:t>
      </w:r>
    </w:p>
    <w:p>
      <w:pPr>
        <w:pStyle w:val="Heading2"/>
        <w:spacing w:after="130" w:before="260"/>
      </w:pPr>
      <w:r>
        <w:t xml:space="preserve">5.1 Modul Dashboard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3300"/>
        <w:gridCol w:w="1600"/>
      </w:tblGrid>
      <w:tr>
        <w:trPr>
          <w:tblHeader/>
        </w:trPr>
        <w:tc>
          <w:tcPr>
            <w:tcW w:type="dxa" w:w="18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METRIC / INSIGHT</w:t>
            </w:r>
          </w:p>
        </w:tc>
        <w:tc>
          <w:tcPr>
            <w:tcW w:type="dxa" w:w="26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 FIELDS</w:t>
            </w:r>
          </w:p>
        </w:tc>
        <w:tc>
          <w:tcPr>
            <w:tcW w:type="dxa" w:w="33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FORMULA / TRANSFORMASI</w:t>
            </w:r>
          </w:p>
        </w:tc>
        <w:tc>
          <w:tcPr>
            <w:tcW w:type="dxa" w:w="16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THRESHOLD REF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On-Time Delivery Rate (%)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delivery_order.actual_delivery_date, .promised_delivery_date, .qty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(Σ order dengan actual_delivery_date ≤ promised_delivery_date) ÷ (Σ order terkirim pada periode) × 100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Tabel 6.2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Production Achievement (%)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production_order.actual_qty, .planned_qty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Σ actual_qty ÷ Σ planned_qty × 100, per periode &amp; per plant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Tabel 6.2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At-Risk Delivery Orders (count)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delivery_order + production_order.actual progress + risk_event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AI PREDICTIVE — count(delivery_order) dengan predicted_delay_probability ≥ 60% (model klasifikasi berbasis progress produksi vs lead time tersisa, historical delay pattern SKU sejenis)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Tabel 6.3 (Risk Level)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Demand Forecast Accuracy (%)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demand_history.actual_demand_qty vs forecast_engine.forecast_qty (periode lampau)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100 − MAPE, dengan MAPE = rata-rata(|Actual−Forecast| ÷ Actual) × 100 pada rolling window periode lampau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Tabel 6.2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Supply Chain Health Index (0–100)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4 KPI di atas (ternormalisasi ke target masing-masing)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Composite weighted score:
0.35×OnTimeDeliveryScore + 0.30×ProductionAchievementScore + 0.20×(100−AtRiskOrderPenalty) + 0.15×ForecastAccuracyScore
(bobot rekomendasi awal — perlu divalidasi bersama stakeholder Ops)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Tabel 6.1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AI Priority Insight — Confidence Score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risk_event terkait + jumlah/kualitas contributing factor yang terverifikasi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Model confidence dari root-cause classifier (mis. korelasi downtime sensor + historical pattern); bukan hasil kalkulasi manual sederhana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Tabel 6.4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Early Warning — Risk Level &amp; Probability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risk_event.confidence_prob, .potential_impact, sensor/anomaly signal (mis. vibration, temperature log)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Matriks Probability × Impact → Risk Level (lihat Tabel 6.3)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Tabel 6.3</w:t>
            </w:r>
          </w:p>
        </w:tc>
      </w:tr>
    </w:tbl>
    <w:p>
      <w:pPr>
        <w:pStyle w:val="Heading2"/>
        <w:spacing w:after="130" w:before="260"/>
      </w:pPr>
      <w:r>
        <w:t xml:space="preserve">5.2 Modul Invoice Matching Intelligence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3300"/>
        <w:gridCol w:w="1600"/>
      </w:tblGrid>
      <w:tr>
        <w:trPr>
          <w:tblHeader/>
        </w:trPr>
        <w:tc>
          <w:tcPr>
            <w:tcW w:type="dxa" w:w="18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METRIC / INSIGHT</w:t>
            </w:r>
          </w:p>
        </w:tc>
        <w:tc>
          <w:tcPr>
            <w:tcW w:type="dxa" w:w="26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 FIELDS</w:t>
            </w:r>
          </w:p>
        </w:tc>
        <w:tc>
          <w:tcPr>
            <w:tcW w:type="dxa" w:w="33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FORMULA / TRANSFORMASI</w:t>
            </w:r>
          </w:p>
        </w:tc>
        <w:tc>
          <w:tcPr>
            <w:tcW w:type="dxa" w:w="16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THRESHOLD REF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Total Transactions / Auto-Matched / Partial Match / Discrepancies / Pending Review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invoice + shipment_resi + purchase_order (setelah join by po_number)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Count per matching_status hasil klasifikasi (lihat baris berikutnya), dibagi Total Transactions untuk persentase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Tabel 6.5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AI Matching Confidence Score (per transaksi)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identifier link strength (po_number/resi/invoice), harmonization confidence (Bag. 4), field value delta (qty/amount)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Weighted score:
0.4×IdentifierLinkScore + 0.3×EntityHarmonizationScore + 0.3×FieldValueMatchScore (0–100%)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Tabel 6.5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Matching Status (Matched/Partial/Mismatch)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AI Matching Confidence Score + field variance (qty %, amount %)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Klasifikasi berdasarkan confidence &amp; toleransi varians — lihat Tabel 6.5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Tabel 6.5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Exception Severity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exception_type (missing record, qty mismatch, amount mismatch, duplicate, dsb) + transaction_amount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Severity naik jika exception_type kritikal (mis. amount mismatch) DAN transaction_amount di atas ambang nilai (mis. &gt;$50.000)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Tabel 6.3 (pola sama dgn Risk Level)</w:t>
            </w:r>
          </w:p>
        </w:tc>
      </w:tr>
    </w:tbl>
    <w:p>
      <w:pPr>
        <w:pStyle w:val="Heading2"/>
        <w:spacing w:after="130" w:before="260"/>
      </w:pPr>
      <w:r>
        <w:t xml:space="preserve">5.3 Modul Demand &amp; Inventory Decision Intelligence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3300"/>
        <w:gridCol w:w="1600"/>
      </w:tblGrid>
      <w:tr>
        <w:trPr>
          <w:tblHeader/>
        </w:trPr>
        <w:tc>
          <w:tcPr>
            <w:tcW w:type="dxa" w:w="18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METRIC / INSIGHT</w:t>
            </w:r>
          </w:p>
        </w:tc>
        <w:tc>
          <w:tcPr>
            <w:tcW w:type="dxa" w:w="26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 FIELDS</w:t>
            </w:r>
          </w:p>
        </w:tc>
        <w:tc>
          <w:tcPr>
            <w:tcW w:type="dxa" w:w="33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FORMULA / TRANSFORMASI</w:t>
            </w:r>
          </w:p>
        </w:tc>
        <w:tc>
          <w:tcPr>
            <w:tcW w:type="dxa" w:w="16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THRESHOLD REF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Current Demand &amp; Growth Rate (%)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demand_history.actual_demand_qty (bulan berjalan vs bulan sebelumnya/rolling avg)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Growth % = (Demand_bulan_ini − Demand_bulan_lalu) ÷ Demand_bulan_lalu × 100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Demand Forecast &amp; Uncertainty Band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demand_history (time series) → forecast model (mis. exponential smoothing/regresi trend+musiman)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Forecast_t = model(history); Band = Forecast_t ± 1.28×σ(forecast error historis) → rentang confidence 90%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Tabel 6.6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Forecast Confidence Score (%)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stabilitas tren historis, volatilitas demand terkini, jumlah observasi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Skor komposit dari kualitas fit model (mis. 1 − normalisasi RMSE) dikurangi penalti volatilitas/observasi terbatas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Tabel 6.6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Projected Inventory &amp; Stockout Date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inventory_snapshot.on_hand_qty, .safety_stock_qty, .lead_time_days + Demand Forecast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Projected_Inventory(t) = On_hand − Σ Forecasted_Demand(0..t); Stockout_Date = tanggal saat Projected_Inventory(t) = 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Tabel 6.7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Stockout / Overstock Risk Level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(Stockout_Date − Today) dibanding lead_time_days; ATAU days-of-supply saat ini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Stockout Risk: High/Critical bila sisa hari ≤ lead_time_days; Overstock Risk: bila days-of-supply &gt; 90 hari (lihat Tabel 6.7)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Tabel 6.7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AI Replenishment Recommendation (qty &amp; tanggal)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Demand Forecast selama lead time + safety_stock_qty − on_hand_qty (+ buffer risiko)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Suggested_Qty = (Forecast_demand_selama_leadtime + Safety_Stock) − On_hand_qty;
Suggested_Date = Stockout_Date − lead_time_days
(parameter buffer perlu divalidasi dengan tim Ops pada technical assessment)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Tabel 6.7</w:t>
            </w:r>
          </w:p>
        </w:tc>
      </w:tr>
      <w:tr>
        <w:tc>
          <w:tcPr>
            <w:tcW w:type="dxa" w:w="18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Scenario Simulator — Recalculated Replenishment Need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Suggested_Qty (baseline) + slider Demand Surge (%) + slider Lead Time Impact (+hari)</w:t>
            </w:r>
          </w:p>
        </w:tc>
        <w:tc>
          <w:tcPr>
            <w:tcW w:type="dxa" w:w="3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Recalculated_Qty = Suggested_Qty × (1 + Demand_Surge%) + (Forecast harian × tambahan hari lead time)
Ditandai jelas sebagai simulasi, tidak mengubah data aktual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80" w:before="380"/>
      </w:pPr>
      <w:r>
        <w:t xml:space="preserve">6. Threshold &amp; Kategori Reference</w:t>
      </w:r>
    </w:p>
    <w:p>
      <w:pPr>
        <w:spacing w:after="140"/>
      </w:pPr>
      <w:r>
        <w:t xml:space="preserve">Ambang batas berikut dipakai konsisten lintas modul agar warna/label pada UI seragam. Angka bersifat rekomendasi awal berdasarkan pola pada mockup — perlu divalidasi bersama tim Ops/Finance PT Indoprima sebelum masuk ke data produksi.</w:t>
      </w:r>
    </w:p>
    <w:p>
      <w:pPr>
        <w:pStyle w:val="Heading2"/>
        <w:spacing w:after="130" w:before="260"/>
      </w:pPr>
      <w:r>
        <w:t xml:space="preserve">6.1 Supply Chain Health Index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400"/>
        <w:gridCol w:w="2700"/>
      </w:tblGrid>
      <w:tr>
        <w:trPr>
          <w:tblHeader/>
        </w:trPr>
        <w:tc>
          <w:tcPr>
            <w:tcW w:type="dxa" w:w="22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RENTANG SKOR</w:t>
            </w:r>
          </w:p>
        </w:tc>
        <w:tc>
          <w:tcPr>
            <w:tcW w:type="dxa" w:w="22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24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WARNA</w:t>
            </w:r>
          </w:p>
        </w:tc>
        <w:tc>
          <w:tcPr>
            <w:tcW w:type="dxa" w:w="27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ARTI OPERASIONAL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90–100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Healthy / On Track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Hijau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Semua KPI memenuhi/mendekati target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75–89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Needs Attention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Kuning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Ada penurunan/deviasi namun belum kritikal (mis. skor 78 pada mockup)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50–74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At Risk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Oranye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Beberapa KPI di bawah target signifikan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&lt; 50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Critical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Merah</w:t>
            </w:r>
          </w:p>
        </w:tc>
        <w:tc>
          <w:tcPr>
            <w:tcW w:type="dxa" w:w="2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Risiko tinggi terhadap komitmen delivery/produksi</w:t>
            </w:r>
          </w:p>
        </w:tc>
      </w:tr>
    </w:tbl>
    <w:p>
      <w:pPr>
        <w:pStyle w:val="Heading2"/>
        <w:spacing w:after="130" w:before="260"/>
      </w:pPr>
      <w:r>
        <w:t xml:space="preserve">6.2 KPI Individual (On-Time Delivery, Production Achievement, Forecast Accuracy)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500"/>
      </w:tblGrid>
      <w:tr>
        <w:trPr>
          <w:tblHeader/>
        </w:trPr>
        <w:tc>
          <w:tcPr>
            <w:tcW w:type="dxa" w:w="26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KONDISI</w:t>
            </w:r>
          </w:p>
        </w:tc>
        <w:tc>
          <w:tcPr>
            <w:tcW w:type="dxa" w:w="24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 BADGE</w:t>
            </w:r>
          </w:p>
        </w:tc>
        <w:tc>
          <w:tcPr>
            <w:tcW w:type="dxa" w:w="45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CONTOH (dari mockup)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Nilai ≥ Target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On Track (hijau)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Forecast Accuracy 91.2% vs target 90% → +1.8%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Target − 10% ≤ Nilai &lt; Target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Needs Attention (kuning)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On-Time Delivery 84.2% vs target 92%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Nilai &lt; Target − 10%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Underperforming (merah)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Production Achievement 88.5% vs target 95%</w:t>
            </w:r>
          </w:p>
        </w:tc>
      </w:tr>
    </w:tbl>
    <w:p>
      <w:pPr>
        <w:pStyle w:val="Heading2"/>
        <w:spacing w:after="130" w:before="260"/>
      </w:pPr>
      <w:r>
        <w:t xml:space="preserve">6.3 Risk Level (Early Warning, At-Risk Orders, Exception Severity)</w:t>
      </w:r>
    </w:p>
    <w:p>
      <w:pPr>
        <w:spacing w:after="140"/>
      </w:pPr>
      <w:r>
        <w:t xml:space="preserve">Matriks Probability (confidence model) × Business Impact: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100"/>
        <w:gridCol w:w="2200"/>
      </w:tblGrid>
      <w:tr>
        <w:trPr>
          <w:tblHeader/>
        </w:trPr>
        <w:tc>
          <w:tcPr>
            <w:tcW w:type="dxa" w:w="21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PROBABILITY</w:t>
            </w:r>
          </w:p>
        </w:tc>
        <w:tc>
          <w:tcPr>
            <w:tcW w:type="dxa" w:w="21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IMPACT RENDAH/MEDIUM</w:t>
            </w:r>
          </w:p>
        </w:tc>
        <w:tc>
          <w:tcPr>
            <w:tcW w:type="dxa" w:w="21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IMPACT TINGGI ($ besar / stop produksi)</w:t>
            </w:r>
          </w:p>
        </w:tc>
        <w:tc>
          <w:tcPr>
            <w:tcW w:type="dxa" w:w="22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LABEL AKHIR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≥ 85%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Critical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Mengikuti kolom Impact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70–84%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High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Mengikuti kolom Impact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50–69%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Medium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Mengikuti kolom Impact</w:t>
            </w:r>
          </w:p>
        </w:tc>
      </w:tr>
      <w:tr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&lt; 50%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W w:type="dxa" w:w="21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Low–Medium</w:t>
            </w:r>
          </w:p>
        </w:tc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Low</w:t>
            </w:r>
          </w:p>
        </w:tc>
      </w:tr>
    </w:tbl>
    <w:p>
      <w:pPr>
        <w:spacing w:after="140"/>
      </w:pPr>
      <w:r>
        <w:t xml:space="preserve">Contoh dari mockup: Stamping Press Hydraulic Failure (88% prob., dampak stop produksi Line 3) → Critical. Overstock Gasket G-400 (65% prob., dampak biaya holding $1.200/bln) → Low.</w:t>
      </w:r>
    </w:p>
    <w:p>
      <w:pPr>
        <w:pStyle w:val="Heading2"/>
        <w:spacing w:after="130" w:before="260"/>
      </w:pPr>
      <w:r>
        <w:t xml:space="preserve">6.4 Confidence Score (umum, dipakai lintas modul)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700"/>
      </w:tblGrid>
      <w:tr>
        <w:trPr>
          <w:tblHeader/>
        </w:trPr>
        <w:tc>
          <w:tcPr>
            <w:tcW w:type="dxa" w:w="24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RENTANG CONFIDENCE</w:t>
            </w:r>
          </w:p>
        </w:tc>
        <w:tc>
          <w:tcPr>
            <w:tcW w:type="dxa" w:w="24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KATEGORI</w:t>
            </w:r>
          </w:p>
        </w:tc>
        <w:tc>
          <w:tcPr>
            <w:tcW w:type="dxa" w:w="47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IMPLIKASI UI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≥ 90%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High Confidence</w:t>
            </w:r>
          </w:p>
        </w:tc>
        <w:tc>
          <w:tcPr>
            <w:tcW w:type="dxa" w:w="4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Insight ditampilkan tanpa flag tambahan; warna hijau/ungu (AI badge)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70–89%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Medium Confidence</w:t>
            </w:r>
          </w:p>
        </w:tc>
        <w:tc>
          <w:tcPr>
            <w:tcW w:type="dxa" w:w="4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Insight tetap tampil, namun direkomendasikan untuk direview sebelum ditindaklanjuti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&lt; 70%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Low Confidence</w:t>
            </w:r>
          </w:p>
        </w:tc>
        <w:tc>
          <w:tcPr>
            <w:tcW w:type="dxa" w:w="47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Wajib masuk antrian Pending Human Review sebelum dianggap valid</w:t>
            </w:r>
          </w:p>
        </w:tc>
      </w:tr>
    </w:tbl>
    <w:p>
      <w:pPr>
        <w:pStyle w:val="Heading2"/>
        <w:spacing w:after="130" w:before="260"/>
      </w:pPr>
      <w:r>
        <w:t xml:space="preserve">6.5 Matching Status (Invoice Matching Intelligence)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500"/>
      </w:tblGrid>
      <w:tr>
        <w:trPr>
          <w:tblHeader/>
        </w:trPr>
        <w:tc>
          <w:tcPr>
            <w:tcW w:type="dxa" w:w="24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36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KRITERIA</w:t>
            </w:r>
          </w:p>
        </w:tc>
        <w:tc>
          <w:tcPr>
            <w:tcW w:type="dxa" w:w="35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CONTOH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Matched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AI Matching Confidence ≥ 95% DAN seluruh field inti (supplier, product, qty, amount) dalam toleransi varians ≤ 2%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INV-2026-0891 vs RESI-IND-88218, confidence 98%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Partial Match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Confidence 80–94% ATAU 1 field inti melebihi toleransi (mis. UOM/entity variance) namun identifier utama tetap terhubung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92 dari 1.248 transaksi (7,4%)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Discrepancy / Mismatch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Confidence &lt; 80% ATAU qty/amount variance &gt; 5% ATAU field inti tidak cocok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INV-2026-0892 vs RESI-IND-88219 (950 vs 1.000 pcs) → 48 dari 1.248 (3,8%)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Pending Human Review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Berlaku otomatis pada status manapun bila Confidence &lt; 90%, atau exception severity Medium ke atas</w:t>
            </w:r>
          </w:p>
        </w:tc>
        <w:tc>
          <w:tcPr>
            <w:tcW w:type="dxa" w:w="3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 transaksi Action Required</w:t>
            </w:r>
          </w:p>
        </w:tc>
      </w:tr>
    </w:tbl>
    <w:p>
      <w:pPr>
        <w:pStyle w:val="Heading2"/>
        <w:spacing w:after="130" w:before="260"/>
      </w:pPr>
      <w:r>
        <w:t xml:space="preserve">6.6 Forecast Confidence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500"/>
      </w:tblGrid>
      <w:tr>
        <w:trPr>
          <w:tblHeader/>
        </w:trPr>
        <w:tc>
          <w:tcPr>
            <w:tcW w:type="dxa" w:w="26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SKOR</w:t>
            </w:r>
          </w:p>
        </w:tc>
        <w:tc>
          <w:tcPr>
            <w:tcW w:type="dxa" w:w="24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KATEGORI</w:t>
            </w:r>
          </w:p>
        </w:tc>
        <w:tc>
          <w:tcPr>
            <w:tcW w:type="dxa" w:w="45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ARTI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≥ 80%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High Predictive Accuracy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Tren historis konsisten, volatilitas rendah — contoh mockup: 84%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60–79%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Moderate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Ada faktor ketidakpastian signifikan (mis. volatilitas harga bahan baku)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&lt; 60%</w:t>
            </w:r>
          </w:p>
        </w:tc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Low</w:t>
            </w:r>
          </w:p>
        </w:tc>
        <w:tc>
          <w:tcPr>
            <w:tcW w:type="dxa" w:w="4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Observasi historis terbatas / demand sangat fluktuatif — rekomendasi tetap ditampilkan namun band uncertainty melebar</w:t>
            </w:r>
          </w:p>
        </w:tc>
      </w:tr>
    </w:tbl>
    <w:p>
      <w:pPr>
        <w:pStyle w:val="Heading2"/>
        <w:spacing w:after="130" w:before="260"/>
      </w:pPr>
      <w:r>
        <w:t xml:space="preserve">6.7 Stockout / Overstock Risk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900"/>
        <w:gridCol w:w="3400"/>
      </w:tblGrid>
      <w:tr>
        <w:trPr>
          <w:tblHeader/>
        </w:trPr>
        <w:tc>
          <w:tcPr>
            <w:tcW w:type="dxa" w:w="32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KONDISI</w:t>
            </w:r>
          </w:p>
        </w:tc>
        <w:tc>
          <w:tcPr>
            <w:tcW w:type="dxa" w:w="29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RISK LEVEL</w:t>
            </w:r>
          </w:p>
        </w:tc>
        <w:tc>
          <w:tcPr>
            <w:tcW w:type="dxa" w:w="34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CONTOH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Sisa hari sampai Stockout_Date ≤ lead_time_days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Stockout — High/Critical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Shortfall 2.600–4.200 unit, stockout 18 Agu 2026 vs lead time 14 hari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lead_time_days &lt; sisa hari ≤ 1.5×lead_time_days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Stockout — Medium (waspada)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Days-of-supply saat ini &gt; 90 hari &amp; tren demand turun/flat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Overstock — Low/Medium</w:t>
            </w:r>
          </w:p>
        </w:tc>
        <w:tc>
          <w:tcPr>
            <w:tcW w:type="dxa" w:w="34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Overstock Gasket G-400, holding cost $1.200/bln</w:t>
            </w:r>
          </w:p>
        </w:tc>
      </w:tr>
    </w:tbl>
    <w:p>
      <w:r>
        <w:br w:type="page"/>
      </w:r>
    </w:p>
    <w:p>
      <w:pPr>
        <w:pStyle w:val="Heading1"/>
        <w:spacing w:after="180" w:before="380"/>
      </w:pPr>
      <w:r>
        <w:t xml:space="preserve">7. Kebutuhan File Dummy Data</w:t>
      </w:r>
    </w:p>
    <w:p>
      <w:pPr>
        <w:spacing w:after="140"/>
      </w:pPr>
      <w:r>
        <w:t xml:space="preserve">Berikut daftar file dummy yang perlu disiapkan tim untuk membangun MVP. Disarankan format CSV (UTF-8, desimal titik, tanggal ISO 8601 YYYY-MM-DD) agar mudah di-load ke database relasional (untuk text-to-SQL) maupun vector store (untuk RAG).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1500"/>
        <w:gridCol w:w="2000"/>
      </w:tblGrid>
      <w:tr>
        <w:trPr>
          <w:tblHeader/>
        </w:trPr>
        <w:tc>
          <w:tcPr>
            <w:tcW w:type="dxa" w:w="23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36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KOLOM UTAMA (ringkas)</w:t>
            </w:r>
          </w:p>
        </w:tc>
        <w:tc>
          <w:tcPr>
            <w:tcW w:type="dxa" w:w="15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EST. BARIS</w:t>
            </w:r>
          </w:p>
        </w:tc>
        <w:tc>
          <w:tcPr>
            <w:tcW w:type="dxa" w:w="20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PERIODE / CAKUPAN</w:t>
            </w:r>
          </w:p>
        </w:tc>
      </w:tr>
      <w:tr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supplier_master.csv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Semua field Bag. 3.1 (raw + harmonized)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~150 baris (≈50 supplier × 2–3 representasi)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Snapshot terkini</w:t>
            </w:r>
          </w:p>
        </w:tc>
      </w:tr>
      <w:tr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product_master.csv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Semua field Bag. 3.1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~200 baris (≈80 SKU × 2–3 representasi)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Snapshot terkini</w:t>
            </w:r>
          </w:p>
        </w:tc>
      </w:tr>
      <w:tr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plant_master.csv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plant_id, plant_name, location_code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~5 baris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Statis</w:t>
            </w:r>
          </w:p>
        </w:tc>
      </w:tr>
      <w:tr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purchase_orders.csv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Semua field Bag. 3.2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~1.250 baris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6 bulan terakhir</w:t>
            </w:r>
          </w:p>
        </w:tc>
      </w:tr>
      <w:tr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invoices.csv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Semua field Bag. 3.2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~1.250 baris (sengaja diberi ~150 anomali)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6 bulan terakhir</w:t>
            </w:r>
          </w:p>
        </w:tc>
      </w:tr>
      <w:tr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shipments.csv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Semua field Bag. 3.2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~1.250 baris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6 bulan terakhir</w:t>
            </w:r>
          </w:p>
        </w:tc>
      </w:tr>
      <w:tr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production_orders.csv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Semua field Bag. 3.3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~300 baris (2 plant × beberapa line × harian)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 bulan terakhir</w:t>
            </w:r>
          </w:p>
        </w:tc>
      </w:tr>
      <w:tr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delivery_orders.csv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Semua field Bag. 3.3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~500 baris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 bulan terakhir</w:t>
            </w:r>
          </w:p>
        </w:tc>
      </w:tr>
      <w:tr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logistics_telemetry.csv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Semua field Bag. 3.3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~100 baris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 bulan terakhir</w:t>
            </w:r>
          </w:p>
        </w:tc>
      </w:tr>
      <w:tr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demand_history.csv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sku_id, period, actual_demand_qty, customer_segment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~120–300 baris (5–10 SKU × 12–24 bulan)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12–24 bulan (untuk tangkap musiman)</w:t>
            </w:r>
          </w:p>
        </w:tc>
      </w:tr>
      <w:tr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inventory_snapshots.csv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Semua field Bag. 3.4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~900 baris (10 SKU × 90 hari)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90 hari terakhir</w:t>
            </w:r>
          </w:p>
        </w:tc>
      </w:tr>
      <w:tr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risk_events.csv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Semua field Bag. 3.5 — di-generate rule-engine dari anomali yang sengaja disisipkan di atas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~30–50 baris (sample)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30 hari terakhir</w:t>
            </w:r>
          </w:p>
        </w:tc>
      </w:tr>
      <w:tr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ai_insight_log.csv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Semua field Bag. 3.5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~15–20 baris (sample)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30 hari terakhir</w:t>
            </w:r>
          </w:p>
        </w:tc>
      </w:tr>
      <w:tr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audit_log.csv</w:t>
            </w:r>
          </w:p>
        </w:tc>
        <w:tc>
          <w:tcPr>
            <w:tcW w:type="dxa" w:w="36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Semua field Bag. 3.5</w:t>
            </w:r>
          </w:p>
        </w:tc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~20–30 baris (sample interaksi demo)</w:t>
            </w:r>
          </w:p>
        </w:tc>
        <w:tc>
          <w:tcPr>
            <w:tcW w:type="dxa" w:w="20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</w:tr>
    </w:tbl>
    <w:p>
      <w:pPr>
        <w:spacing w:after="140"/>
      </w:pPr>
      <w:r>
        <w:t xml:space="preserve">Catatan tambahan: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File relasional (PO, invoice, shipment, production, delivery, inventory) sebaiknya di-load ke database relasional (mis. PostgreSQL/SQLite) sebagai target text-to-SQL engine.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File yang bersifat naratif/historis (SOP, catatan root cause, deskripsi insight lampau) di-embed ke vector store (mis. ChromaDB) sebagai basis RAG untuk pertanyaan eksplanatori.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Setiap kolom "_raw" wajib memiliki minimal 2–3 variasi penulisan per entitas agar demo Master Data Harmonization (Bag. 4) meyakinkan.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Sisipkan anomali secara sengaja dan proporsional: ~10–12% transaksi invoice bermasalah (mismatch/partial), 1 kasus downtime produksi kritikal, 1 kasus port delay, 1–2 SKU dengan tren stockout &amp; 1 SKU overstock — agar tiap kapabilitas AI pada PRD dapat didemokan.</w:t>
      </w:r>
    </w:p>
    <w:p>
      <w:pPr>
        <w:pStyle w:val="Heading1"/>
        <w:spacing w:after="180" w:before="380"/>
      </w:pPr>
      <w:r>
        <w:t xml:space="preserve">8. Volume &amp; Rentang Waktu Data (Ringkasan)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200"/>
      </w:tblGrid>
      <w:tr>
        <w:trPr>
          <w:tblHeader/>
        </w:trPr>
        <w:tc>
          <w:tcPr>
            <w:tcW w:type="dxa" w:w="30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DIMENSI</w:t>
            </w:r>
          </w:p>
        </w:tc>
        <w:tc>
          <w:tcPr>
            <w:tcW w:type="dxa" w:w="32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REKOMENDASI MVP</w:t>
            </w:r>
          </w:p>
        </w:tc>
        <w:tc>
          <w:tcPr>
            <w:tcW w:type="dxa" w:w="3200"/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CATATAN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Rentang historis transaksi (Invoice/PO/Shipment)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6 bulan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Cukup untuk menunjukkan tren &amp; pola anomali berulang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Rentang historis demand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12–24 bulan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Diperlukan untuk menangkap pola musiman &amp; menghitung uncertainty band forecast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Jumlah plant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 (Surabaya, Karawang)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Sesuai operating facility pada mockup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Jumlah SKU aktif didemokan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5–10 SKU representatif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 SKU fokus untuk skenario stockout, 1 SKU fokus overstock</w:t>
            </w:r>
          </w:p>
        </w:tc>
      </w:tr>
      <w:tr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Jumlah supplier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~50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Sebagian sengaja punya variasi nama untuk demo harmonization</w:t>
            </w:r>
          </w:p>
        </w:tc>
      </w:tr>
    </w:tbl>
    <w:p>
      <w:pPr>
        <w:pStyle w:val="Heading1"/>
        <w:spacing w:after="180" w:before="380"/>
      </w:pPr>
      <w:r>
        <w:t xml:space="preserve">9. Catatan &amp; Asumsi untuk Fase Data Engineering Lanjutan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Seluruh formula pada Bagian 5 adalah rekomendasi awal berbasis pola yang terlihat pada mockup — bobot komposit (Health Index) dan parameter buffer replenishment perlu divalidasi bersama tim Ops/Finance/Demand Planning PT Indoprima sebelum dipakai pada data produksi.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Mata uang pada mockup memakai USD ($); perlu dikonfirmasi apakah sistem produksi PT Indoprima memakai IDR — jika ya, seluruh field amount perlu penyesuaian format &amp; threshold nilai (mis. ambang "transaksi bernilai besar").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At-Risk Delivery Orders dan Risk Level bersifat predictive (output model), bukan pure calculated field — perlu pipeline terpisah (rule-engine sederhana untuk MVP, model klasifikasi/prediktif untuk fase produksi).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Field "_raw" dari 3 sistem sumber pada MVP dibuat manual/sintetis; pada fase integrasi nyata, field ini akan datang langsung dari API/DB masing-masing sistem — struktur golden record (harmonized_*) dirancang agar tidak berubah signifikan saat transisi ini terjadi.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Dokumen ini akan diperbarui setelah sesi business &amp; data assessment lanjutan bersama PT Indoprima (lihat GTM/Rollout Plan pada PRD).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0F766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2026-07-25T10:45:11.244Z</dcterms:created>
  <dcterms:modified xsi:type="dcterms:W3CDTF">2026-07-25T10:45:11.261Z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