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2026-09-07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v1.3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v1.3（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v1.2 基础上收口 2026-09-06~07（V2.443→V2.505）业务方与财务总监敲定的口径：</w:t>
      </w:r>
      <w:r>
        <w:rPr>
          <w:rFonts w:ascii="Calibri" w:hAnsi="Calibri" w:eastAsia="微软雅黑"/>
          <w:b/>
          <w:color w:val="808080"/>
          <w:sz w:val="18"/>
        </w:rPr>
        <w:t>与 OA 流程的衔接边界</w:t>
      </w:r>
      <w:r>
        <w:rPr>
          <w:rFonts w:ascii="Calibri" w:hAnsi="Calibri" w:eastAsia="微软雅黑"/>
          <w:color w:val="808080"/>
          <w:sz w:val="18"/>
        </w:rPr>
        <w:t>（吴总定：复核在工作台、志鹏照旧手工传回 OA 表单、钉钉流程不动；工具做「到成本核算节点自动立项 + 钉钉提醒」与「财务版 + 脱敏版一次导出」）、</w:t>
      </w:r>
      <w:r>
        <w:rPr>
          <w:rFonts w:ascii="Calibri" w:hAnsi="Calibri" w:eastAsia="微软雅黑"/>
          <w:b/>
          <w:color w:val="808080"/>
          <w:sz w:val="18"/>
        </w:rPr>
        <w:t>历史补录口径</w:t>
      </w:r>
      <w:r>
        <w:rPr>
          <w:rFonts w:ascii="Calibri" w:hAnsi="Calibri" w:eastAsia="微软雅黑"/>
          <w:color w:val="808080"/>
          <w:sz w:val="18"/>
        </w:rPr>
        <w:t>（照常初审、初审即盖补录戳定稿、不经 BP 终审；替换/重拉采购核算表承接补录标记）、</w:t>
      </w:r>
      <w:r>
        <w:rPr>
          <w:rFonts w:ascii="Calibri" w:hAnsi="Calibri" w:eastAsia="微软雅黑"/>
          <w:b/>
          <w:color w:val="808080"/>
          <w:sz w:val="18"/>
        </w:rPr>
        <w:t>换码承接三答案 A/B/C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上游链路按 CP 码兜底 + 列序重排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发起人离职单的备用下载通道</w:t>
      </w:r>
      <w:r>
        <w:rPr>
          <w:rFonts w:ascii="Calibri" w:hAnsi="Calibri" w:eastAsia="微软雅黑"/>
          <w:color w:val="808080"/>
          <w:sz w:val="18"/>
        </w:rPr>
        <w:t>（钉盘代下载，权限已开）、</w:t>
      </w:r>
      <w:r>
        <w:rPr>
          <w:rFonts w:ascii="Calibri" w:hAnsi="Calibri" w:eastAsia="微软雅黑"/>
          <w:b/>
          <w:color w:val="808080"/>
          <w:sz w:val="18"/>
        </w:rPr>
        <w:t>主管理员密钥删除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采购核算表详情动作条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>台账搜索加物料编码/钉钉单号</w:t>
      </w:r>
      <w:r>
        <w:rPr>
          <w:rFonts w:ascii="Calibri" w:hAnsi="Calibri" w:eastAsia="微软雅黑"/>
          <w:color w:val="808080"/>
          <w:sz w:val="18"/>
        </w:rPr>
        <w:t>、</w:t>
      </w:r>
      <w:r>
        <w:rPr>
          <w:rFonts w:ascii="Calibri" w:hAnsi="Calibri" w:eastAsia="微软雅黑"/>
          <w:b/>
          <w:color w:val="808080"/>
          <w:sz w:val="18"/>
        </w:rPr>
        <w:t xml:space="preserve">BP 侧脱敏版与 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。开放问题表更新（Q4 已做；新增 Q11~Q15）。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v1.3（签署版）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V2.505，2026-09-07）；本文把已敲定口径固化为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要点（相对 v1.2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与 OA 流程的衔接边界</w:t>
      </w:r>
      <w:r>
        <w:rPr>
          <w:rFonts w:ascii="Calibri" w:hAnsi="Calibri" w:eastAsia="微软雅黑"/>
          <w:color w:val="404040"/>
          <w:sz w:val="20"/>
        </w:rPr>
        <w:t>（§2.9，吴总定案）②</w:t>
      </w:r>
      <w:r>
        <w:rPr>
          <w:rFonts w:ascii="Calibri" w:hAnsi="Calibri" w:eastAsia="微软雅黑"/>
          <w:b/>
          <w:color w:val="404040"/>
          <w:sz w:val="20"/>
        </w:rPr>
        <w:t>历史补录</w:t>
      </w:r>
      <w:r>
        <w:rPr>
          <w:rFonts w:ascii="Calibri" w:hAnsi="Calibri" w:eastAsia="微软雅黑"/>
          <w:color w:val="404040"/>
          <w:sz w:val="20"/>
        </w:rPr>
        <w:t>口径两次改定后的终稿（§2.5.3）③换码承接</w:t>
      </w:r>
      <w:r>
        <w:rPr>
          <w:rFonts w:ascii="Calibri" w:hAnsi="Calibri" w:eastAsia="微软雅黑"/>
          <w:b/>
          <w:color w:val="404040"/>
          <w:sz w:val="20"/>
        </w:rPr>
        <w:t>三答案</w:t>
      </w:r>
      <w:r>
        <w:rPr>
          <w:rFonts w:ascii="Calibri" w:hAnsi="Calibri" w:eastAsia="微软雅黑"/>
          <w:color w:val="404040"/>
          <w:sz w:val="20"/>
        </w:rPr>
        <w:t xml:space="preserve"> A/B/C（§2.5）④上游链路</w:t>
      </w:r>
      <w:r>
        <w:rPr>
          <w:rFonts w:ascii="Calibri" w:hAnsi="Calibri" w:eastAsia="微软雅黑"/>
          <w:b/>
          <w:color w:val="404040"/>
          <w:sz w:val="20"/>
        </w:rPr>
        <w:t>按 CP 码兜底</w:t>
      </w:r>
      <w:r>
        <w:rPr>
          <w:rFonts w:ascii="Calibri" w:hAnsi="Calibri" w:eastAsia="微软雅黑"/>
          <w:color w:val="404040"/>
          <w:sz w:val="20"/>
        </w:rPr>
        <w:t>、列序重排（§2.5、§9）⑤</w:t>
      </w:r>
      <w:r>
        <w:rPr>
          <w:rFonts w:ascii="Calibri" w:hAnsi="Calibri" w:eastAsia="微软雅黑"/>
          <w:b/>
          <w:color w:val="404040"/>
          <w:sz w:val="20"/>
        </w:rPr>
        <w:t>发起人离职单</w:t>
      </w:r>
      <w:r>
        <w:rPr>
          <w:rFonts w:ascii="Calibri" w:hAnsi="Calibri" w:eastAsia="微软雅黑"/>
          <w:color w:val="404040"/>
          <w:sz w:val="20"/>
        </w:rPr>
        <w:t>的备用下载通道（§4）⑥主管理员</w:t>
      </w:r>
      <w:r>
        <w:rPr>
          <w:rFonts w:ascii="Calibri" w:hAnsi="Calibri" w:eastAsia="微软雅黑"/>
          <w:b/>
          <w:color w:val="404040"/>
          <w:sz w:val="20"/>
        </w:rPr>
        <w:t>密钥删除</w:t>
      </w:r>
      <w:r>
        <w:rPr>
          <w:rFonts w:ascii="Calibri" w:hAnsi="Calibri" w:eastAsia="微软雅黑"/>
          <w:color w:val="404040"/>
          <w:sz w:val="20"/>
        </w:rPr>
        <w:t>（§2.4）⑦采购核算表详情</w:t>
      </w:r>
      <w:r>
        <w:rPr>
          <w:rFonts w:ascii="Calibri" w:hAnsi="Calibri" w:eastAsia="微软雅黑"/>
          <w:b/>
          <w:color w:val="404040"/>
          <w:sz w:val="20"/>
        </w:rPr>
        <w:t>动作条</w:t>
      </w:r>
      <w:r>
        <w:rPr>
          <w:rFonts w:ascii="Calibri" w:hAnsi="Calibri" w:eastAsia="微软雅黑"/>
          <w:color w:val="404040"/>
          <w:sz w:val="20"/>
        </w:rPr>
        <w:t xml:space="preserve">定序（§2.5.3 末）⑧脱敏版 / 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（§5.3、§3）⑨台账搜索加物料编码/钉钉单号（§9）。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  <w:r>
              <w:rPr>
                <w:rFonts w:ascii="Calibri" w:hAnsi="Calibri" w:eastAsia="微软雅黑"/>
                <w:sz w:val="18"/>
              </w:rPr>
              <w:t>（2026-09-07；v1.0~v1.2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V2.505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2026-09-07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按业务方定「暂不签署、直接开发」；本版为上线一周、OA 衔接边界由财务总监定案后的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采购核算表详情动作条</w:t>
      </w:r>
      <w:r>
        <w:rPr>
          <w:rFonts w:ascii="Calibri" w:hAnsi="Calibri" w:eastAsia="微软雅黑"/>
          <w:sz w:val="21"/>
        </w:rPr>
        <w:t>（V2.463，业务方定序）：‹返回上一级（灰）· ⤓导出采购核算表▾（灰，含 原版/重排版/</w:t>
      </w:r>
      <w:r>
        <w:rPr>
          <w:rFonts w:ascii="Calibri" w:hAnsi="Calibri" w:eastAsia="微软雅黑"/>
          <w:b/>
          <w:sz w:val="21"/>
        </w:rPr>
        <w:t>财务版+脱敏版 zip</w:t>
      </w:r>
      <w:r>
        <w:rPr>
          <w:rFonts w:ascii="Calibri" w:hAnsi="Calibri" w:eastAsia="微软雅黑"/>
          <w:sz w:val="21"/>
        </w:rPr>
        <w:t>/版本对比）· ⌦申请作废（琥珀边）· ✎修改价税费（蓝边）· ⚑审核归档（绿实心；已归档后为 改定性(蓝边)+撤销归档(琥珀边)）· ⌦作废终审（琥珀实心，财务BP）· 🗑删除（红实心，仅主管理员）。灰＝看，蓝＝改，琥珀＝可逆/待批，绿＝主流程，红＝不可逆。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一单两版采购核算表 ✅（商品版按 CP 配对优先，V2.457）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（V2.428）：物料编码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图解操作说明 v1.0 → v1.1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待补：A/B/C、并行、脱敏、补录、自动立项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2026-09-07）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V2.505</w:t>
      </w:r>
      <w:r>
        <w:rPr>
          <w:rFonts w:ascii="Calibri" w:hAnsi="Calibri" w:eastAsia="微软雅黑"/>
          <w:sz w:val="21"/>
        </w:rPr>
        <w:t>。2026-09-04~07 上线后按业务方反馈迭代 V2.424→V2.505。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内部令牌（Q5）；真机走一遍换码承接、补录、两版导出。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2026-09-07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架构定案与 §2.9 与 OA 的衔接边界为本期验收基线；§11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v1.3（2026-09-07）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v1.3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