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V2.548，2026-09-09）；本文把已敲定口径固化为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V2.548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审核日期.xlsx</w:t>
      </w:r>
      <w:r>
        <w:rPr>
          <w:rFonts w:ascii="Calibri" w:hAnsi="Calibri" w:eastAsia="微软雅黑"/>
          <w:sz w:val="21"/>
        </w:rPr>
        <w:t>（带上游链路页）；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2026-09-09）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V2.548</w:t>
      </w:r>
      <w:r>
        <w:rPr>
          <w:rFonts w:ascii="Calibri" w:hAnsi="Calibri" w:eastAsia="微软雅黑"/>
          <w:sz w:val="21"/>
        </w:rPr>
        <w:t>。2026-09-07~09 迭代 V2.507→V2.548（财务复核槽、手动指认上游/改产品名、只成品落盘、物料分类五色、BP 全量+终审 banner）。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