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rFonts w:ascii="Arial" w:cs="Arial" w:eastAsia="Arial" w:hAnsi="Arial"/>
          <w:b w:val="1"/>
          <w:bCs w:val="1"/>
          <w:color w:val="1f3864"/>
          <w:sz w:val="36"/>
          <w:szCs w:val="36"/>
          <w:rtl w:val="0"/>
        </w:rPr>
        <w:t xml:space="preserve">Position-Aware Visual Interaction Transformers with Human-Centric Priors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Times New Roman" w:cs="Times New Roman" w:eastAsia="Times New Roman" w:hAnsi="Times New Roman"/>
          <w:i w:val="1"/>
          <w:iCs w:val="1"/>
          <w:sz w:val="24"/>
          <w:szCs w:val="24"/>
          <w:rtl w:val="0"/>
        </w:rPr>
        <w:t xml:space="preserve">Chunyu Jiang</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Supervisors: A/Prof Chao Chen, Prof Michael Wang</w:t>
      </w: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5">
      <w:pPr>
        <w:spacing w:after="160" w:before="0" w:line="276" w:lineRule="auto"/>
        <w:jc w:val="left"/>
        <w:rPr/>
      </w:pPr>
      <w:sdt>
        <w:sdtPr>
          <w:id w:val="1331003336"/>
          <w:tag w:val="goog_rdk_0"/>
        </w:sdtPr>
        <w:sdtContent>
          <w:r w:rsidDel="00000000" w:rsidR="00000000" w:rsidRPr="00000000">
            <w:rPr>
              <w:rFonts w:ascii="Cardo" w:cs="Cardo" w:eastAsia="Cardo" w:hAnsi="Cardo"/>
              <w:sz w:val="24"/>
              <w:szCs w:val="24"/>
              <w:rtl w:val="0"/>
            </w:rPr>
            <w:t xml:space="preserve">Human-Object Interaction (HOI) detection is a fundamental computer vision task aimed at identifying relational triplets of the form ⟨Human, Action, Object⟩ in visual scenes. Transformer-based HOI detectors, particularly those employing learnable interaction queries, have emerged as the most performant and training-efficient approaches. However, existing methods predominantly adopt object-centric or scene-centric perspectives, overlooking the role of the human as the active initiator of interaction.</w:t>
          </w:r>
        </w:sdtContent>
      </w:sdt>
      <w:r w:rsidDel="00000000" w:rsidR="00000000" w:rsidRPr="00000000">
        <w:rPr>
          <w:rtl w:val="0"/>
        </w:rPr>
      </w:r>
    </w:p>
    <w:p w:rsidR="00000000" w:rsidDel="00000000" w:rsidP="00000000" w:rsidRDefault="00000000" w:rsidRPr="00000000" w14:paraId="00000006">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This paper introduces the Human-Detailed HOI (DetailHOI) framework, which explicitly models human head and gaze orientation as probabilistic spatial priors to constrain the interaction search space. By incorporating 17 skeletal keypoints and a 256-dimensional face orientation feature into the query construction process—through a mechanism termed Positional Embedding Refinement—our approach transforms interaction queries from passive feature-gatherers into intent-aware search signals aligned with human attentional focus.</w:t>
      </w:r>
      <w:r w:rsidDel="00000000" w:rsidR="00000000" w:rsidRPr="00000000">
        <w:rPr>
          <w:rtl w:val="0"/>
        </w:rPr>
      </w:r>
    </w:p>
    <w:p w:rsidR="00000000" w:rsidDel="00000000" w:rsidP="00000000" w:rsidRDefault="00000000" w:rsidRPr="00000000" w14:paraId="00000007">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Experimental results on standard benchmarks demonstrate that skeletal and gaze integration improves mean Average Precision (mAP) to 0.7142 on V-COCO and 0.3374 on HICO-DET (Epoch 30), representing consistent improvements over the PViC baseline. We further conduct ablation studies on keypoint granularity and data filtering strategies, and compare our findings against state-of-the-art 2024–2025 frameworks including HORP and UniHOI, establishing a technical roadmap for proactive and intent-aware HOI systems.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A">
      <w:pPr>
        <w:spacing w:after="160" w:before="0" w:line="276" w:lineRule="auto"/>
        <w:jc w:val="left"/>
        <w:rPr/>
      </w:pPr>
      <w:sdt>
        <w:sdtPr>
          <w:id w:val="-1361602477"/>
          <w:tag w:val="goog_rdk_1"/>
        </w:sdtPr>
        <w:sdtContent>
          <w:r w:rsidDel="00000000" w:rsidR="00000000" w:rsidRPr="00000000">
            <w:rPr>
              <w:rFonts w:ascii="Cardo" w:cs="Cardo" w:eastAsia="Cardo" w:hAnsi="Cardo"/>
              <w:sz w:val="24"/>
              <w:szCs w:val="24"/>
              <w:rtl w:val="0"/>
            </w:rPr>
            <w:t xml:space="preserve">Human-Object Interaction (HOI) detection is a fundamental and challenging task in computer vision, aiming to localize individuals and the objects they interact with while identifying the specific action connecting them. This task is typically formalized as predicting a set of triplets in the form of ⟨Human, Action, Object⟩. Accurate HOI understanding is essential for high-level scene interpretation and serves as a cornerstone for numerous downstream applications, including collaborative robotics, autonomous driving, surveillance, and immersive augmented/virtual reality (AR/VR) systems. Despite the rapid evolution of deep learning models, HOI detection continues to face significant hurdles in real-world scenarios, primarily driven by the extreme long-tail distribution of interaction categories and the spatial ambiguity inherent in cluttered environments.</w:t>
          </w:r>
        </w:sdtContent>
      </w:sdt>
      <w:r w:rsidDel="00000000" w:rsidR="00000000" w:rsidRPr="00000000">
        <w:rPr>
          <w:rtl w:val="0"/>
        </w:rPr>
      </w:r>
    </w:p>
    <w:p w:rsidR="00000000" w:rsidDel="00000000" w:rsidP="00000000" w:rsidRDefault="00000000" w:rsidRPr="00000000" w14:paraId="0000000B">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To address these challenges, current research has explored several distinct technical paths. Early approaches utilized two-stage pipelines that decoupled instance detection from interaction classification, while recent trends have shifted toward end-to-end architectures leveraging the Transformer’s self-attention mechanism to capture global contextual dependencies. Furthermore, the integration of large-scale Vision-Language Models (VLMs), such as CLIP and BLIP, has become a prominent strategy for transferring semantic knowledge to facilitate zero-shot generalization. Other sophisticated methods include the use of generative diffusion models to learn fine-grained visual relation representations and the application of Graph Neural Networks (GNNs) to explicitly model the relational structures between detected entities.</w:t>
      </w:r>
      <w:r w:rsidDel="00000000" w:rsidR="00000000" w:rsidRPr="00000000">
        <w:rPr>
          <w:rtl w:val="0"/>
        </w:rPr>
      </w:r>
    </w:p>
    <w:p w:rsidR="00000000" w:rsidDel="00000000" w:rsidP="00000000" w:rsidRDefault="00000000" w:rsidRPr="00000000" w14:paraId="0000000C">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However, while these advancements have significantly boosted performance, they rely heavily on “object-centric” or “scene-centric” attributes, often overlooking the human as the active driver and primary initiator of the interaction. Human interaction is governed by physiological and behavioral laws, where cues such as body pose, head orientation, and gaze direction serve as powerful indicators of intent and often precede physical contact. By failing to extract these fine-grained priors from the human subject, current models remain reactive rather than proactive. In this paper, we propose the Human-Detailed HOI (DetailHOI) framework, which explicitly models head orientation as a spatial probability distribution over all detectable objects in the scene, seamlessly fused with a robust HOI recognition backbone to enhance object identification and action prediction.</w:t>
      </w:r>
      <w:r w:rsidDel="00000000" w:rsidR="00000000" w:rsidRPr="00000000">
        <w:rPr>
          <w:rtl w:val="0"/>
        </w:rPr>
      </w:r>
    </w:p>
    <w:p w:rsidR="00000000" w:rsidDel="00000000" w:rsidP="00000000" w:rsidRDefault="00000000" w:rsidRPr="00000000" w14:paraId="0000000D">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main contributions of this work are summarized as follows: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propose DetailHOI, a novel HOI detection framework that introduces human-centric priors—specifically head orientation and gaze direction—as probabilistic spatial constraints to proactively guide interaction search.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design a Positional Embedding Refinement mechanism that fuses 17 skeletal keypoints and a 256-dimensional face orientation feature with spatial positional embeddings, enabling the Transformer decoder to reason about human intent beyond bounding box geometry.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conduct comprehensive ablation studies on keypoint granularity (5 vs. 17 keypoints) and a data filtering strategy for cleaner evaluation on high-fidelity human instances.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perform extensive experiments on V-COCO and HICO-DET benchmarks, demonstrating consistent performance improvements over the PViC baseline and competitive results against 2024–2025 state-of-the-art methods.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Arial" w:cs="Arial" w:eastAsia="Arial" w:hAnsi="Arial"/>
          <w:b w:val="1"/>
          <w:bCs w:val="1"/>
          <w:sz w:val="32"/>
          <w:szCs w:val="32"/>
          <w:rtl w:val="0"/>
        </w:rPr>
        <w:t xml:space="preserve">2. Literature Review</w:t>
      </w:r>
      <w:r w:rsidDel="00000000" w:rsidR="00000000" w:rsidRPr="00000000">
        <w:rPr>
          <w:rtl w:val="0"/>
        </w:rPr>
      </w:r>
    </w:p>
    <w:p w:rsidR="00000000" w:rsidDel="00000000" w:rsidP="00000000" w:rsidRDefault="00000000" w:rsidRPr="00000000" w14:paraId="00000014">
      <w:pPr>
        <w:pStyle w:val="Heading2"/>
        <w:spacing w:after="160" w:before="240" w:lineRule="auto"/>
        <w:rPr/>
      </w:pPr>
      <w:r w:rsidDel="00000000" w:rsidR="00000000" w:rsidRPr="00000000">
        <w:rPr>
          <w:rFonts w:ascii="Arial" w:cs="Arial" w:eastAsia="Arial" w:hAnsi="Arial"/>
          <w:b w:val="1"/>
          <w:bCs w:val="1"/>
          <w:sz w:val="28"/>
          <w:szCs w:val="28"/>
          <w:rtl w:val="0"/>
        </w:rPr>
        <w:t xml:space="preserve">2.1 HOI Detection Methods</w:t>
      </w:r>
      <w:r w:rsidDel="00000000" w:rsidR="00000000" w:rsidRPr="00000000">
        <w:rPr>
          <w:rtl w:val="0"/>
        </w:rPr>
      </w:r>
    </w:p>
    <w:p w:rsidR="00000000" w:rsidDel="00000000" w:rsidP="00000000" w:rsidRDefault="00000000" w:rsidRPr="00000000" w14:paraId="00000015">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Mainstream HOI detection methods are traditionally categorized into two-stage and one-stage paradigms. Two-stage approaches first utilize off-the-shelf object detectors, such as Faster R-CNN, to localize human and object instances, followed by an independent network to classify the interaction for each candidate pair. While modular and flexible, these methods often suffer from computational overhead due to the combinatorial explosion of pairs and are susceptible to “task bias,” where object-optimized features may not align with relational reasoning.</w:t>
      </w:r>
      <w:r w:rsidDel="00000000" w:rsidR="00000000" w:rsidRPr="00000000">
        <w:rPr>
          <w:rtl w:val="0"/>
        </w:rPr>
      </w:r>
    </w:p>
    <w:p w:rsidR="00000000" w:rsidDel="00000000" w:rsidP="00000000" w:rsidRDefault="00000000" w:rsidRPr="00000000" w14:paraId="00000016">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More recently, one-stage methods leveraging Transformer architectures, such as QPIC and HOTR, have become the dominant paradigm. By employing self-attention mechanisms and learnable interaction queries, these models can capture long-range dependencies across the global image context in an end-to-end manner. However, most Transformer-based models rely on randomly initialized queries, which may lack the explicit semantics required to distinguish complex or rare interactions effectively.</w:t>
      </w:r>
      <w:r w:rsidDel="00000000" w:rsidR="00000000" w:rsidRPr="00000000">
        <w:rPr>
          <w:rtl w:val="0"/>
        </w:rPr>
      </w:r>
    </w:p>
    <w:p w:rsidR="00000000" w:rsidDel="00000000" w:rsidP="00000000" w:rsidRDefault="00000000" w:rsidRPr="00000000" w14:paraId="00000017">
      <w:pPr>
        <w:pStyle w:val="Heading2"/>
        <w:spacing w:after="160" w:before="240" w:lineRule="auto"/>
        <w:rPr/>
      </w:pPr>
      <w:r w:rsidDel="00000000" w:rsidR="00000000" w:rsidRPr="00000000">
        <w:rPr>
          <w:rFonts w:ascii="Arial" w:cs="Arial" w:eastAsia="Arial" w:hAnsi="Arial"/>
          <w:b w:val="1"/>
          <w:bCs w:val="1"/>
          <w:sz w:val="28"/>
          <w:szCs w:val="28"/>
          <w:rtl w:val="0"/>
        </w:rPr>
        <w:t xml:space="preserve">2.2 The Role of Queries in DETR-Based Architectures</w:t>
      </w:r>
      <w:r w:rsidDel="00000000" w:rsidR="00000000" w:rsidRPr="00000000">
        <w:rPr>
          <w:rtl w:val="0"/>
        </w:rPr>
      </w:r>
    </w:p>
    <w:p w:rsidR="00000000" w:rsidDel="00000000" w:rsidP="00000000" w:rsidRDefault="00000000" w:rsidRPr="00000000" w14:paraId="00000018">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DEtection TRansformer (DETR), developed by Facebook AI Research (FAIR), is a pioneering object detection model that reformulates detection as a set prediction problem using learnable queries and a Transformer encoder-decoder architecture [1]. In DETR, a query functions as a “virtual detective” or detection “slot”: each query is a learnable vector, initialized to zero, that interacts with global image features through cross-attention to independently decode object proposals. Formally, the cross-attention computation is:</w:t>
      </w:r>
      <w:r w:rsidDel="00000000" w:rsidR="00000000" w:rsidRPr="00000000">
        <w:rPr>
          <w:rtl w:val="0"/>
        </w:rPr>
      </w:r>
    </w:p>
    <w:p w:rsidR="00000000" w:rsidDel="00000000" w:rsidP="00000000" w:rsidRDefault="00000000" w:rsidRPr="00000000" w14:paraId="00000019">
      <w:pPr>
        <w:spacing w:after="160" w:lineRule="auto"/>
        <w:jc w:val="center"/>
        <w:rPr/>
      </w:pPr>
      <w:sdt>
        <w:sdtPr>
          <w:id w:val="702237546"/>
          <w:tag w:val="goog_rdk_2"/>
        </w:sdtPr>
        <w:sdtContent>
          <w:r w:rsidDel="00000000" w:rsidR="00000000" w:rsidRPr="00000000">
            <w:rPr>
              <w:rFonts w:ascii="Cardo" w:cs="Cardo" w:eastAsia="Cardo" w:hAnsi="Cardo"/>
              <w:i w:val="1"/>
              <w:iCs w:val="1"/>
              <w:sz w:val="22"/>
              <w:szCs w:val="22"/>
              <w:rtl w:val="0"/>
            </w:rPr>
            <w:t xml:space="preserve">Attention(Q, K, V) = softmax(QKᵀ / √Dk) · V</w:t>
          </w:r>
        </w:sdtContent>
      </w:sdt>
      <w:r w:rsidDel="00000000" w:rsidR="00000000" w:rsidRPr="00000000">
        <w:rPr>
          <w:rtl w:val="0"/>
        </w:rPr>
      </w:r>
    </w:p>
    <w:p w:rsidR="00000000" w:rsidDel="00000000" w:rsidP="00000000" w:rsidRDefault="00000000" w:rsidRPr="00000000" w14:paraId="0000001A">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where Q (Query) is initialized to zero, K (Key) combines image features with positional encoding, V (Value) contains the raw feature map, and Dk is the dimension of Q and K.</w:t>
      </w:r>
      <w:r w:rsidDel="00000000" w:rsidR="00000000" w:rsidRPr="00000000">
        <w:rPr>
          <w:rtl w:val="0"/>
        </w:rPr>
      </w:r>
    </w:p>
    <w:p w:rsidR="00000000" w:rsidDel="00000000" w:rsidP="00000000" w:rsidRDefault="00000000" w:rsidRPr="00000000" w14:paraId="0000001B">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A core limitation of the original DETR is that its queries are randomly initialized. Lacking explicit spatial or content priors at the start, the model requires an extensive training period—often exceeding 500 epochs—to achieve stable convergence and accurate bounding box regression. This slow convergence issue motivated subsequent advancements such as DAB-DETR, which replaces random initialization with explicit positional anchors (anchor points encoded as 4D coordinates) to provide each query with a meaningful spatial starting point. PViC further extends this idea to HOI detection, using bounding box coordinates to construct explicit positional embeddings that inject spatial bias into the cross-attention mechanism, enabling the model to “pin-point” relevant body parts and auxiliary objects.</w:t>
      </w:r>
      <w:r w:rsidDel="00000000" w:rsidR="00000000" w:rsidRPr="00000000">
        <w:rPr>
          <w:rtl w:val="0"/>
        </w:rPr>
      </w:r>
    </w:p>
    <w:p w:rsidR="00000000" w:rsidDel="00000000" w:rsidP="00000000" w:rsidRDefault="00000000" w:rsidRPr="00000000" w14:paraId="0000001C">
      <w:pPr>
        <w:pStyle w:val="Heading2"/>
        <w:spacing w:after="160" w:before="240" w:lineRule="auto"/>
        <w:rPr/>
      </w:pPr>
      <w:r w:rsidDel="00000000" w:rsidR="00000000" w:rsidRPr="00000000">
        <w:rPr>
          <w:rFonts w:ascii="Arial" w:cs="Arial" w:eastAsia="Arial" w:hAnsi="Arial"/>
          <w:b w:val="1"/>
          <w:bCs w:val="1"/>
          <w:sz w:val="28"/>
          <w:szCs w:val="28"/>
          <w:rtl w:val="0"/>
        </w:rPr>
        <w:t xml:space="preserve">2.3 Prior Knowledge in HOI Detection</w:t>
      </w:r>
      <w:r w:rsidDel="00000000" w:rsidR="00000000" w:rsidRPr="00000000">
        <w:rPr>
          <w:rtl w:val="0"/>
        </w:rPr>
      </w:r>
    </w:p>
    <w:p w:rsidR="00000000" w:rsidDel="00000000" w:rsidP="00000000" w:rsidRDefault="00000000" w:rsidRPr="00000000" w14:paraId="0000001D">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integration of prior information has been a significant trend in improving HOI detection accuracy. Spatial priors typically focus on the relative geometry of bounding boxes, such as relative distance and area of intersection, to filter out unlikely interactions. Semantic priors often utilize external knowledge from large-scale Vision-Language Models (VLMs) like CLIP or GPT to facilitate zero-shot learning and mitigate the long-tail distribution problem.</w:t>
      </w:r>
      <w:r w:rsidDel="00000000" w:rsidR="00000000" w:rsidRPr="00000000">
        <w:rPr>
          <w:rtl w:val="0"/>
        </w:rPr>
      </w:r>
    </w:p>
    <w:p w:rsidR="00000000" w:rsidDel="00000000" w:rsidP="00000000" w:rsidRDefault="00000000" w:rsidRPr="00000000" w14:paraId="0000001E">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Recent efforts have explored 3D spatial priors; for example, the HORP framework introduces 3D location priors to handle depth ambiguity in 2D images and a text-represented “gaze area prior” to identify whether an object is within a person’s general field of view. Additionally, generative diffusion models like VRDiff have been proposed to learn dense visual relation representations, further refining structural knowledge within the network. Despite these gains, many existing priors remain “object-centric” or “scene-centric,” primarily focusing on the attributes of the target objects or the surrounding environment rather than the human initiator.</w:t>
      </w:r>
      <w:r w:rsidDel="00000000" w:rsidR="00000000" w:rsidRPr="00000000">
        <w:rPr>
          <w:rtl w:val="0"/>
        </w:rPr>
      </w:r>
    </w:p>
    <w:p w:rsidR="00000000" w:rsidDel="00000000" w:rsidP="00000000" w:rsidRDefault="00000000" w:rsidRPr="00000000" w14:paraId="0000001F">
      <w:pPr>
        <w:pStyle w:val="Heading2"/>
        <w:spacing w:after="160" w:before="240" w:lineRule="auto"/>
        <w:rPr/>
      </w:pPr>
      <w:r w:rsidDel="00000000" w:rsidR="00000000" w:rsidRPr="00000000">
        <w:rPr>
          <w:rFonts w:ascii="Arial" w:cs="Arial" w:eastAsia="Arial" w:hAnsi="Arial"/>
          <w:b w:val="1"/>
          <w:bCs w:val="1"/>
          <w:sz w:val="28"/>
          <w:szCs w:val="28"/>
          <w:rtl w:val="0"/>
        </w:rPr>
        <w:t xml:space="preserve">2.4 Human-Centric and Intention-Aware Modeling</w:t>
      </w:r>
      <w:r w:rsidDel="00000000" w:rsidR="00000000" w:rsidRPr="00000000">
        <w:rPr>
          <w:rtl w:val="0"/>
        </w:rPr>
      </w:r>
    </w:p>
    <w:p w:rsidR="00000000" w:rsidDel="00000000" w:rsidP="00000000" w:rsidRDefault="00000000" w:rsidRPr="00000000" w14:paraId="00000020">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A growing body of research advocates for the extraction of human-centric features to serve as robust structural priors. Pose-aware networks such as PAIN utilize skeleton keypoints and adaptive graph convolutional networks (AGCN) to guide attention toward informative body regions like the hands and eyes. Geometric Visual Fusion GNNs (GeoVis-GNN) further integrate human pose with object spatial configurations to establish entity-specific representations.</w:t>
      </w:r>
      <w:r w:rsidDel="00000000" w:rsidR="00000000" w:rsidRPr="00000000">
        <w:rPr>
          <w:rtl w:val="0"/>
        </w:rPr>
      </w:r>
    </w:p>
    <w:p w:rsidR="00000000" w:rsidDel="00000000" w:rsidP="00000000" w:rsidRDefault="00000000" w:rsidRPr="00000000" w14:paraId="00000021">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Beyond physical pose, human visual attention is a powerful leading indicator of intent. Gaze-following frameworks like HOIGaze capture head orientation and location to generate gaze feature maps, enabling the system to anticipate interactions in videos before they are fully executed. Advanced models such as HAGI++ exploit the inherent head-eye coordination by using multi-modal diffusion to impute missing gaze values from head orientation sensors. Our work extends this line of inquiry by explicitly modeling head orientation as a spatial probability distribution, transforming a typically reactive detection process into a proactive framework that prioritizes potential interaction targets based on the human’s attentional focus.</w:t>
      </w:r>
      <w:r w:rsidDel="00000000" w:rsidR="00000000" w:rsidRPr="00000000">
        <w:rPr>
          <w:rtl w:val="0"/>
        </w:rPr>
      </w:r>
    </w:p>
    <w:p w:rsidR="00000000" w:rsidDel="00000000" w:rsidP="00000000" w:rsidRDefault="00000000" w:rsidRPr="00000000" w14:paraId="00000022">
      <w:pPr>
        <w:pStyle w:val="Heading2"/>
        <w:spacing w:after="160" w:before="240" w:lineRule="auto"/>
        <w:rPr/>
      </w:pPr>
      <w:r w:rsidDel="00000000" w:rsidR="00000000" w:rsidRPr="00000000">
        <w:rPr>
          <w:rFonts w:ascii="Arial" w:cs="Arial" w:eastAsia="Arial" w:hAnsi="Arial"/>
          <w:b w:val="1"/>
          <w:bCs w:val="1"/>
          <w:sz w:val="28"/>
          <w:szCs w:val="28"/>
          <w:rtl w:val="0"/>
        </w:rPr>
        <w:t xml:space="preserve">2.5 Benchmark Datasets</w:t>
      </w:r>
      <w:r w:rsidDel="00000000" w:rsidR="00000000" w:rsidRPr="00000000">
        <w:rPr>
          <w:rtl w:val="0"/>
        </w:rPr>
      </w:r>
    </w:p>
    <w:p w:rsidR="00000000" w:rsidDel="00000000" w:rsidP="00000000" w:rsidRDefault="00000000" w:rsidRPr="00000000" w14:paraId="00000023">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two most widely used benchmarks for HOI detection are V-COCO and HICO-DET. V-COCO (Visual Contexts and Object COntexts) is built on MS-COCO 2014 and contains approximately 10,346 images with 29 action categories and 80 object categories. HICO-DET provides a larger and more challenging evaluation set with approximately 47,776 images, 117 action categories, 80 object categories, and 600 distinct HOI categories, making it the primary benchmark for state-of-the-art comparisons.</w:t>
      </w:r>
      <w:r w:rsidDel="00000000" w:rsidR="00000000" w:rsidRPr="00000000">
        <w:rPr>
          <w:rtl w:val="0"/>
        </w:rPr>
      </w:r>
    </w:p>
    <w:p w:rsidR="00000000" w:rsidDel="00000000" w:rsidP="00000000" w:rsidRDefault="00000000" w:rsidRPr="00000000" w14:paraId="00000024">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PIC (Person in Context) dataset offers an alternative evaluation scenario with pixel-level instance mask annotations, 141 object categories, and 44 verb categories, and is particularly suited for evaluating models that leverage detailed human body part information. In our experiments, we primarily evaluate on V-COCO and HICO-DET and supplement with PIC for human-centric analysis.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20"/>
                <w:szCs w:val="20"/>
                <w:rtl w:val="0"/>
              </w:rPr>
              <w:t xml:space="preserve">V-COCO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sz w:val="20"/>
                <w:szCs w:val="20"/>
                <w:rtl w:val="0"/>
              </w:rPr>
              <w:t xml:space="preserve">HICO-DET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20"/>
                <w:szCs w:val="20"/>
                <w:rtl w:val="0"/>
              </w:rPr>
              <w:t xml:space="preserve">PIC (Person in Context)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0"/>
                <w:szCs w:val="20"/>
                <w:rtl w:val="0"/>
              </w:rPr>
              <w:t xml:space="preserve">Total Images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0"/>
                <w:szCs w:val="20"/>
                <w:rtl w:val="0"/>
              </w:rPr>
              <w:t xml:space="preserve">~10,346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sz w:val="20"/>
                <w:szCs w:val="20"/>
                <w:rtl w:val="0"/>
              </w:rPr>
              <w:t xml:space="preserve">~47,776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0"/>
                <w:szCs w:val="20"/>
                <w:rtl w:val="0"/>
              </w:rPr>
              <w:t xml:space="preserve">~17,159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0"/>
                <w:szCs w:val="20"/>
                <w:rtl w:val="0"/>
              </w:rPr>
              <w:t xml:space="preserve">Image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20"/>
                <w:szCs w:val="20"/>
                <w:rtl w:val="0"/>
              </w:rPr>
              <w:t xml:space="preserve">MS-COCO 2014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0"/>
                <w:szCs w:val="20"/>
                <w:rtl w:val="0"/>
              </w:rPr>
              <w:t xml:space="preserve">Internet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0"/>
                <w:szCs w:val="20"/>
                <w:rtl w:val="0"/>
              </w:rPr>
              <w:t xml:space="preserve">Independent collection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0"/>
                <w:szCs w:val="20"/>
                <w:rtl w:val="0"/>
              </w:rPr>
              <w:t xml:space="preserve">Annotation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0"/>
                <w:szCs w:val="20"/>
                <w:rtl w:val="0"/>
              </w:rPr>
              <w:t xml:space="preserve">BBox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20"/>
                <w:szCs w:val="20"/>
                <w:rtl w:val="0"/>
              </w:rPr>
              <w:t xml:space="preserve">BBox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20"/>
                <w:szCs w:val="20"/>
                <w:rtl w:val="0"/>
              </w:rPr>
              <w:t xml:space="preserve">Pixel-level Instance Mask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0"/>
                <w:szCs w:val="20"/>
                <w:rtl w:val="0"/>
              </w:rPr>
              <w:t xml:space="preserve">HOI 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0"/>
                <w:szCs w:val="20"/>
                <w:rtl w:val="0"/>
              </w:rPr>
              <w:t xml:space="preserve">228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20"/>
                <w:szCs w:val="20"/>
                <w:rtl w:val="0"/>
              </w:rPr>
              <w:t xml:space="preserve">600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0"/>
                <w:szCs w:val="20"/>
                <w:rtl w:val="0"/>
              </w:rPr>
              <w:t xml:space="preserve">~(complex scene relations)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20"/>
                <w:szCs w:val="20"/>
                <w:rtl w:val="0"/>
              </w:rPr>
              <w:t xml:space="preserve">Action Categories (Verb)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0"/>
                <w:szCs w:val="20"/>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0"/>
                <w:szCs w:val="20"/>
                <w:rtl w:val="0"/>
              </w:rPr>
              <w:t xml:space="preserve">117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0"/>
                <w:bCs w:val="0"/>
                <w:sz w:val="20"/>
                <w:szCs w:val="20"/>
                <w:rtl w:val="0"/>
              </w:rPr>
              <w:t xml:space="preserve">44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0"/>
                <w:szCs w:val="20"/>
                <w:rtl w:val="0"/>
              </w:rPr>
              <w:t xml:space="preserve">Object 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0"/>
                <w:szCs w:val="20"/>
                <w:rtl w:val="0"/>
              </w:rPr>
              <w:t xml:space="preserve">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20"/>
                <w:szCs w:val="20"/>
                <w:rtl w:val="0"/>
              </w:rPr>
              <w:t xml:space="preserve">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0"/>
                <w:szCs w:val="20"/>
                <w:rtl w:val="0"/>
              </w:rPr>
              <w:t xml:space="preserve">141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0"/>
                <w:szCs w:val="20"/>
                <w:rtl w:val="0"/>
              </w:rPr>
              <w:t xml:space="preserve">Body Part Annotation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0"/>
                <w:szCs w:val="2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0"/>
                <w:szCs w:val="2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0"/>
                <w:szCs w:val="20"/>
                <w:rtl w:val="0"/>
              </w:rPr>
              <w:t xml:space="preserve">Yes (Body Part Parsing)</w:t>
            </w:r>
            <w:r w:rsidDel="00000000" w:rsidR="00000000" w:rsidRPr="00000000">
              <w:rPr>
                <w:rtl w:val="0"/>
              </w:rPr>
            </w:r>
          </w:p>
        </w:tc>
      </w:tr>
    </w:tbl>
    <w:p w:rsidR="00000000" w:rsidDel="00000000" w:rsidP="00000000" w:rsidRDefault="00000000" w:rsidRPr="00000000" w14:paraId="00000046">
      <w:pPr>
        <w:spacing w:after="300" w:before="100" w:lineRule="auto"/>
        <w:jc w:val="center"/>
        <w:rPr/>
      </w:pPr>
      <w:r w:rsidDel="00000000" w:rsidR="00000000" w:rsidRPr="00000000">
        <w:rPr>
          <w:rFonts w:ascii="Times New Roman" w:cs="Times New Roman" w:eastAsia="Times New Roman" w:hAnsi="Times New Roman"/>
          <w:i w:val="1"/>
          <w:iCs w:val="1"/>
          <w:sz w:val="20"/>
          <w:szCs w:val="20"/>
          <w:rtl w:val="0"/>
        </w:rPr>
        <w:t xml:space="preserve">Table 1: Comparison of HOI benchmark datasets.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tl w:val="0"/>
        </w:rPr>
      </w:r>
    </w:p>
    <w:p w:rsidR="00000000" w:rsidDel="00000000" w:rsidP="00000000" w:rsidRDefault="00000000" w:rsidRPr="00000000" w14:paraId="00000049">
      <w:pPr>
        <w:pStyle w:val="Heading1"/>
        <w:spacing w:after="200" w:before="360" w:lineRule="auto"/>
        <w:rPr/>
      </w:pPr>
      <w:r w:rsidDel="00000000" w:rsidR="00000000" w:rsidRPr="00000000">
        <w:rPr>
          <w:rtl w:val="0"/>
        </w:rPr>
      </w:r>
    </w:p>
    <w:p w:rsidR="00000000" w:rsidDel="00000000" w:rsidP="00000000" w:rsidRDefault="00000000" w:rsidRPr="00000000" w14:paraId="0000004A">
      <w:pPr>
        <w:pStyle w:val="Heading2"/>
        <w:spacing w:after="160" w:before="240" w:lineRule="auto"/>
        <w:rPr/>
      </w:pPr>
      <w:r w:rsidDel="00000000" w:rsidR="00000000" w:rsidRPr="00000000">
        <w:rPr>
          <w:rtl w:val="0"/>
        </w:rPr>
        <w:t xml:space="preserve">3</w:t>
      </w:r>
      <w:r w:rsidDel="00000000" w:rsidR="00000000" w:rsidRPr="00000000">
        <w:rPr>
          <w:rFonts w:ascii="Arial" w:cs="Arial" w:eastAsia="Arial" w:hAnsi="Arial"/>
          <w:b w:val="1"/>
          <w:bCs w:val="1"/>
          <w:sz w:val="28"/>
          <w:szCs w:val="28"/>
          <w:rtl w:val="0"/>
        </w:rPr>
        <w:t xml:space="preserve">.1 The Role of Queries in HOI Detection</w:t>
      </w:r>
      <w:r w:rsidDel="00000000" w:rsidR="00000000" w:rsidRPr="00000000">
        <w:rPr>
          <w:rtl w:val="0"/>
        </w:rPr>
      </w:r>
    </w:p>
    <w:p w:rsidR="00000000" w:rsidDel="00000000" w:rsidP="00000000" w:rsidRDefault="00000000" w:rsidRPr="00000000" w14:paraId="0000004B">
      <w:pPr>
        <w:spacing w:after="160" w:before="0" w:line="276" w:lineRule="auto"/>
        <w:jc w:val="left"/>
        <w:rPr/>
      </w:pPr>
      <w:sdt>
        <w:sdtPr>
          <w:id w:val="806581862"/>
          <w:tag w:val="goog_rdk_3"/>
        </w:sdtPr>
        <w:sdtContent>
          <w:r w:rsidDel="00000000" w:rsidR="00000000" w:rsidRPr="00000000">
            <w:rPr>
              <w:rFonts w:ascii="Cardo" w:cs="Cardo" w:eastAsia="Cardo" w:hAnsi="Cardo"/>
              <w:sz w:val="24"/>
              <w:szCs w:val="24"/>
              <w:rtl w:val="0"/>
            </w:rPr>
            <w:t xml:space="preserve">In modern Transformer-based HOI architectures, queries serve as the primary mechanism for relational reasoning, functioning as learnable placeholders that are progressively decoded into ⟨Human, Action, Object⟩ triplets from the global visual context. However, a significant limitation of existing models is their reliance on randomly initialized queries, which lack explicit semantics and often lead to vague feature representations that hinder the model’s ability to distinguish complex interactions.</w:t>
          </w:r>
        </w:sdtContent>
      </w:sdt>
      <w:r w:rsidDel="00000000" w:rsidR="00000000" w:rsidRPr="00000000">
        <w:rPr>
          <w:rtl w:val="0"/>
        </w:rPr>
      </w:r>
    </w:p>
    <w:p w:rsidR="00000000" w:rsidDel="00000000" w:rsidP="00000000" w:rsidRDefault="00000000" w:rsidRPr="00000000" w14:paraId="0000004C">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As explored in the PViC framework by Zhang et al., the effectiveness of interaction discovery is highly dependent on how well these queries are grounded in the visual scene. PViC demonstrated that by using bounding box coordinates to construct explicit query positional embeddings, the model can inject a spatial bias into the cross-attention mechanism, successfully “pin-pointing” relevant body parts and auxiliary objects that signify a specific interaction.</w:t>
      </w:r>
      <w:r w:rsidDel="00000000" w:rsidR="00000000" w:rsidRPr="00000000">
        <w:rPr>
          <w:rtl w:val="0"/>
        </w:rPr>
      </w:r>
    </w:p>
    <w:p w:rsidR="00000000" w:rsidDel="00000000" w:rsidP="00000000" w:rsidRDefault="00000000" w:rsidRPr="00000000" w14:paraId="0000004D">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Building upon this insight, we argue that while providing spatial anchors (like box centers) improves accuracy, it remains a “reactive” process that depends on the interaction being already visible or well underway. To overcome the ambiguity found in cluttered multi-object scenarios, we propose a paradigm shift by injecting human-centric “intent priors” directly into the query construction. Unlike PViC, which focuses on the geometric extremities of detected instances, our framework models head orientation and gaze as a spatial probability distribution. By integrating these attentional cues into the query initialization, the Transformer is proactively guided to attend to regions the human is fixating on before physical contact occurs.</w:t>
      </w:r>
      <w:r w:rsidDel="00000000" w:rsidR="00000000" w:rsidRPr="00000000">
        <w:rPr>
          <w:rtl w:val="0"/>
        </w:rPr>
      </w:r>
    </w:p>
    <w:p w:rsidR="00000000" w:rsidDel="00000000" w:rsidP="00000000" w:rsidRDefault="00000000" w:rsidRPr="00000000" w14:paraId="0000004E">
      <w:pPr>
        <w:pStyle w:val="Heading2"/>
        <w:spacing w:after="160" w:before="240" w:lineRule="auto"/>
        <w:rPr/>
      </w:pPr>
      <w:r w:rsidDel="00000000" w:rsidR="00000000" w:rsidRPr="00000000">
        <w:rPr>
          <w:rtl w:val="0"/>
        </w:rPr>
        <w:t xml:space="preserve">3</w:t>
      </w:r>
      <w:r w:rsidDel="00000000" w:rsidR="00000000" w:rsidRPr="00000000">
        <w:rPr>
          <w:rFonts w:ascii="Arial" w:cs="Arial" w:eastAsia="Arial" w:hAnsi="Arial"/>
          <w:b w:val="1"/>
          <w:bCs w:val="1"/>
          <w:sz w:val="28"/>
          <w:szCs w:val="28"/>
          <w:rtl w:val="0"/>
        </w:rPr>
        <w:t xml:space="preserve">.2 Positional Embedding Refinement with Skeletal and Face Priors</w:t>
      </w:r>
      <w:r w:rsidDel="00000000" w:rsidR="00000000" w:rsidRPr="00000000">
        <w:rPr>
          <w:rtl w:val="0"/>
        </w:rPr>
      </w:r>
    </w:p>
    <w:p w:rsidR="00000000" w:rsidDel="00000000" w:rsidP="00000000" w:rsidRDefault="00000000" w:rsidRPr="00000000" w14:paraId="0000004F">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To capture the nuances of human intent and physical movement, we extend the traditional interaction query design by introducing fine-grained human-centric structural priors. Specifically, we incorporate 17 skeletal keypoints (following the MS-COCO format) and a 256-dimensional face orientation feature (face_feat) into the query construction process through a mechanism termed Positional Embedding Refinement.</w:t>
      </w:r>
      <w:r w:rsidDel="00000000" w:rsidR="00000000" w:rsidRPr="00000000">
        <w:rPr>
          <w:rtl w:val="0"/>
        </w:rPr>
      </w:r>
    </w:p>
    <w:p w:rsidR="00000000" w:rsidDel="00000000" w:rsidP="00000000" w:rsidRDefault="00000000" w:rsidRPr="00000000" w14:paraId="00000050">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The face_feat is transformed via a projection layer and fused with the spatial centre_feat—the geometric anchor derived from bounding box coordinates in frameworks like PViC—through concatenation or element-wise fusion. While baseline models like PViC rely on positional embeddings that represent simple “coordinates,” our refined positional embeddings evolve to capture “posture trends.” This allows the Transformer decoder to not only identify where a person is but also how they are oriented toward potential interaction targets. Consequently, the cross-attention mechanism can more accurately index interaction-rich details from the global feature maps, enabling the model to disambiguate complex scenarios by aligning its computational focus with the human’s physical trajectory and attentional focus.</w:t>
      </w:r>
      <w:r w:rsidDel="00000000" w:rsidR="00000000" w:rsidRPr="00000000">
        <w:rPr>
          <w:rtl w:val="0"/>
        </w:rPr>
      </w:r>
    </w:p>
    <w:p w:rsidR="00000000" w:rsidDel="00000000" w:rsidP="00000000" w:rsidRDefault="00000000" w:rsidRPr="00000000" w14:paraId="00000051">
      <w:pPr>
        <w:pStyle w:val="Heading2"/>
        <w:spacing w:after="160" w:before="240" w:lineRule="auto"/>
        <w:rPr/>
      </w:pPr>
      <w:r w:rsidDel="00000000" w:rsidR="00000000" w:rsidRPr="00000000">
        <w:rPr>
          <w:rtl w:val="0"/>
        </w:rPr>
        <w:t xml:space="preserve">4</w:t>
      </w:r>
      <w:r w:rsidDel="00000000" w:rsidR="00000000" w:rsidRPr="00000000">
        <w:rPr>
          <w:rFonts w:ascii="Arial" w:cs="Arial" w:eastAsia="Arial" w:hAnsi="Arial"/>
          <w:b w:val="1"/>
          <w:bCs w:val="1"/>
          <w:sz w:val="28"/>
          <w:szCs w:val="28"/>
          <w:rtl w:val="0"/>
        </w:rPr>
        <w:t xml:space="preserve"> Ablation Study: Keypoint Granularity</w:t>
      </w:r>
      <w:r w:rsidDel="00000000" w:rsidR="00000000" w:rsidRPr="00000000">
        <w:rPr>
          <w:rtl w:val="0"/>
        </w:rPr>
      </w:r>
    </w:p>
    <w:p w:rsidR="00000000" w:rsidDel="00000000" w:rsidP="00000000" w:rsidRDefault="00000000" w:rsidRPr="00000000" w14:paraId="00000052">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To evaluate the impact of skeletal granularity on interaction detection, we conduct an ablation study comparing different numbers of human keypoints used for positional embedding refinement. We compare a coarse-grained representation using 5 keypoints (typically head, hands, and feet) against our proposed fine-grained 17-keypoint configuration.</w:t>
      </w:r>
      <w:r w:rsidDel="00000000" w:rsidR="00000000" w:rsidRPr="00000000">
        <w:rPr>
          <w:rtl w:val="0"/>
        </w:rPr>
      </w:r>
    </w:p>
    <w:p w:rsidR="00000000" w:rsidDel="00000000" w:rsidP="00000000" w:rsidRDefault="00000000" w:rsidRPr="00000000" w14:paraId="00000053">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While a minimal set of 5 keypoints can represent the general presence and coarse position of a person, it lacks the discriminative power to model the kinematic chains—such as the relationship between the shoulder, elbow, and wrist—that are essential for identifying complex contact patterns. By utilizing all 17 keypoints, the interaction query gains a detailed understanding of the human body’s anatomical structure and posture trends. This fine-grained structural prior enables the model to better distinguish between “no-interaction” and “indirect interaction” categories by providing precise spatial constraints on where the human is capable of reaching or fixating.</w:t>
      </w:r>
      <w:r w:rsidDel="00000000" w:rsidR="00000000" w:rsidRPr="00000000">
        <w:rPr>
          <w:rtl w:val="0"/>
        </w:rPr>
      </w:r>
    </w:p>
    <w:p w:rsidR="00000000" w:rsidDel="00000000" w:rsidP="00000000" w:rsidRDefault="00000000" w:rsidRPr="00000000" w14:paraId="00000054">
      <w:pPr>
        <w:pStyle w:val="Heading2"/>
        <w:spacing w:after="160" w:before="240" w:lineRule="auto"/>
        <w:rPr/>
      </w:pPr>
      <w:r w:rsidDel="00000000" w:rsidR="00000000" w:rsidRPr="00000000">
        <w:rPr>
          <w:rtl w:val="0"/>
        </w:rPr>
        <w:t xml:space="preserve">5</w:t>
      </w:r>
      <w:r w:rsidDel="00000000" w:rsidR="00000000" w:rsidRPr="00000000">
        <w:rPr>
          <w:rFonts w:ascii="Arial" w:cs="Arial" w:eastAsia="Arial" w:hAnsi="Arial"/>
          <w:b w:val="1"/>
          <w:bCs w:val="1"/>
          <w:sz w:val="28"/>
          <w:szCs w:val="28"/>
          <w:rtl w:val="0"/>
        </w:rPr>
        <w:t xml:space="preserve"> Data Filtering Strategy</w:t>
      </w:r>
      <w:r w:rsidDel="00000000" w:rsidR="00000000" w:rsidRPr="00000000">
        <w:rPr>
          <w:rtl w:val="0"/>
        </w:rPr>
      </w:r>
    </w:p>
    <w:p w:rsidR="00000000" w:rsidDel="00000000" w:rsidP="00000000" w:rsidRDefault="00000000" w:rsidRPr="00000000" w14:paraId="00000055">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A significant bottleneck in advancing HOI detection lies in the inherent limitations of standard benchmarks such as HICO-DET and V-COCO. These datasets frequently contain images with severe class imbalance, inconsistent annotations, and significant visual artifacts, such as motion blur or extreme occlusions. In many scenarios, the human initiator is either too small or too obscured for the model to extract high-fidelity skeletal joints or face orientation features, leading to “noisy” positional embeddings that can mislead the interaction reasoning process.</w:t>
      </w:r>
      <w:r w:rsidDel="00000000" w:rsidR="00000000" w:rsidRPr="00000000">
        <w:rPr>
          <w:rtl w:val="0"/>
        </w:rPr>
      </w:r>
    </w:p>
    <w:p w:rsidR="00000000" w:rsidDel="00000000" w:rsidP="00000000" w:rsidRDefault="00000000" w:rsidRPr="00000000" w14:paraId="00000056">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To rigorously evaluate the effectiveness of our proposed human-centric priors, we implement a data filtering strategy to isolate a subset of images containing “clear human instances.” Our filtering criteria focus on ensuring that all 17 skeletal keypoints and the face orientation can be reliably detected with high confidence scores. By refining the evaluation to this high-visibility subset, we aim to minimize the impact of pixel-level corruption and focus specifically on the model’s ability to resolve spatial ambiguity through intent cues.</w:t>
      </w:r>
      <w:r w:rsidDel="00000000" w:rsidR="00000000" w:rsidRPr="00000000">
        <w:rPr>
          <w:rtl w:val="0"/>
        </w:rPr>
      </w:r>
    </w:p>
    <w:p w:rsidR="00000000" w:rsidDel="00000000" w:rsidP="00000000" w:rsidRDefault="00000000" w:rsidRPr="00000000" w14:paraId="00000057">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Qualitative analysis of attention maps reveals that when the human initiator is clearly identifiable, our model produces interaction predictions significantly closer to the ground truth. Traditional object-centric models often generate false positives by incorrectly grouping people with nearby but non-interactive objects, while our framework uses the refined positional embeddings to “anchor” the attention mechanism onto the specific regions the human is fixating on.</w:t>
      </w:r>
      <w:r w:rsidDel="00000000" w:rsidR="00000000" w:rsidRPr="00000000">
        <w:rPr>
          <w:rtl w:val="0"/>
        </w:rPr>
      </w:r>
    </w:p>
    <w:p w:rsidR="00000000" w:rsidDel="00000000" w:rsidP="00000000" w:rsidRDefault="00000000" w:rsidRPr="00000000" w14:paraId="00000058">
      <w:pPr>
        <w:pStyle w:val="Heading2"/>
        <w:spacing w:after="160" w:before="240" w:lineRule="auto"/>
        <w:rPr/>
      </w:pPr>
      <w:r w:rsidDel="00000000" w:rsidR="00000000" w:rsidRPr="00000000">
        <w:rPr>
          <w:rtl w:val="0"/>
        </w:rPr>
        <w:t xml:space="preserve">6</w:t>
      </w:r>
      <w:r w:rsidDel="00000000" w:rsidR="00000000" w:rsidRPr="00000000">
        <w:rPr>
          <w:rFonts w:ascii="Arial" w:cs="Arial" w:eastAsia="Arial" w:hAnsi="Arial"/>
          <w:b w:val="1"/>
          <w:bCs w:val="1"/>
          <w:sz w:val="28"/>
          <w:szCs w:val="28"/>
          <w:rtl w:val="0"/>
        </w:rPr>
        <w:t xml:space="preserve"> Experimental Results</w:t>
      </w:r>
      <w:r w:rsidDel="00000000" w:rsidR="00000000" w:rsidRPr="00000000">
        <w:rPr>
          <w:rtl w:val="0"/>
        </w:rPr>
      </w:r>
    </w:p>
    <w:p w:rsidR="00000000" w:rsidDel="00000000" w:rsidP="00000000" w:rsidRDefault="00000000" w:rsidRPr="00000000" w14:paraId="00000059">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Table 2 summarizes the performance of different configurations evaluated on V-COCO and HICO-DET at Epoch 30. All experiments are conducted under identical training conditions to ensure a fair comparison.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1600"/>
        <w:gridCol w:w="1600"/>
        <w:gridCol w:w="1660"/>
        <w:tblGridChange w:id="0">
          <w:tblGrid>
            <w:gridCol w:w="2600"/>
            <w:gridCol w:w="1900"/>
            <w:gridCol w:w="1600"/>
            <w:gridCol w:w="1600"/>
            <w:gridCol w:w="1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20"/>
                <w:szCs w:val="20"/>
                <w:rtl w:val="0"/>
              </w:rPr>
              <w:t xml:space="preserve">Configuration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sz w:val="20"/>
                <w:szCs w:val="20"/>
                <w:rtl w:val="0"/>
              </w:rPr>
              <w:t xml:space="preserve">V-COCO mAP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20"/>
                <w:szCs w:val="20"/>
                <w:rtl w:val="0"/>
              </w:rPr>
              <w:t xml:space="preserve">HICO-DET mAP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0"/>
                <w:szCs w:val="20"/>
                <w:rtl w:val="0"/>
              </w:rPr>
              <w:t xml:space="preserve">Rare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0"/>
                <w:szCs w:val="20"/>
                <w:rtl w:val="0"/>
              </w:rPr>
              <w:t xml:space="preserve">Non-Rare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0"/>
                <w:szCs w:val="20"/>
                <w:rtl w:val="0"/>
              </w:rPr>
              <w:t xml:space="preserve">PViC Baseline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0"/>
                <w:szCs w:val="20"/>
                <w:rtl w:val="0"/>
              </w:rPr>
              <w:t xml:space="preserve">0.7128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0"/>
                <w:szCs w:val="20"/>
                <w:rtl w:val="0"/>
              </w:rPr>
              <w:t xml:space="preserve">0.3335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0"/>
                <w:szCs w:val="20"/>
                <w:rtl w:val="0"/>
              </w:rPr>
              <w:t xml:space="preserve">0.2859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0"/>
                <w:szCs w:val="20"/>
                <w:rtl w:val="0"/>
              </w:rPr>
              <w:t xml:space="preserve">0.3477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0"/>
                <w:szCs w:val="20"/>
                <w:rtl w:val="0"/>
              </w:rPr>
              <w:t xml:space="preserve">+ 17 Keypoints + Face Orientation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0"/>
                <w:szCs w:val="20"/>
                <w:rtl w:val="0"/>
              </w:rPr>
              <w:t xml:space="preserve">0.7142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0.3374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0.2823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0"/>
                <w:szCs w:val="20"/>
                <w:rtl w:val="0"/>
              </w:rPr>
              <w:t xml:space="preserve">0.3539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 Filtered Keypoints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0.7133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0"/>
                <w:szCs w:val="20"/>
                <w:rtl w:val="0"/>
              </w:rPr>
              <w:t xml:space="preserve">0.3351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0.2879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0.3492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0"/>
                <w:szCs w:val="20"/>
                <w:rtl w:val="0"/>
              </w:rPr>
              <w:t xml:space="preserve">+ More keypoints per person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0.7142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74">
      <w:pPr>
        <w:spacing w:after="300" w:before="100" w:lineRule="auto"/>
        <w:jc w:val="center"/>
        <w:rPr/>
      </w:pPr>
      <w:r w:rsidDel="00000000" w:rsidR="00000000" w:rsidRPr="00000000">
        <w:rPr>
          <w:rFonts w:ascii="Times New Roman" w:cs="Times New Roman" w:eastAsia="Times New Roman" w:hAnsi="Times New Roman"/>
          <w:i w:val="1"/>
          <w:iCs w:val="1"/>
          <w:sz w:val="20"/>
          <w:szCs w:val="20"/>
          <w:rtl w:val="0"/>
        </w:rPr>
        <w:t xml:space="preserve">Table 2: Ablation study results on V-COCO and HICO-DET (Epoch 30).</w:t>
      </w:r>
      <w:r w:rsidDel="00000000" w:rsidR="00000000" w:rsidRPr="00000000">
        <w:rPr>
          <w:rtl w:val="0"/>
        </w:rPr>
      </w:r>
    </w:p>
    <w:p w:rsidR="00000000" w:rsidDel="00000000" w:rsidP="00000000" w:rsidRDefault="00000000" w:rsidRPr="00000000" w14:paraId="00000075">
      <w:pPr>
        <w:spacing w:after="160" w:before="0" w:line="276" w:lineRule="auto"/>
        <w:jc w:val="left"/>
        <w:rPr/>
      </w:pPr>
      <w:sdt>
        <w:sdtPr>
          <w:id w:val="-1614122929"/>
          <w:tag w:val="goog_rdk_4"/>
        </w:sdtPr>
        <w:sdtContent>
          <w:r w:rsidDel="00000000" w:rsidR="00000000" w:rsidRPr="00000000">
            <w:rPr>
              <w:rFonts w:ascii="Cardo" w:cs="Cardo" w:eastAsia="Cardo" w:hAnsi="Cardo"/>
              <w:sz w:val="24"/>
              <w:szCs w:val="24"/>
              <w:rtl w:val="0"/>
            </w:rPr>
            <w:t xml:space="preserve">Our results demonstrate that incorporating 17 skeletal keypoints and face orientation (DetailHOI) consistently improves performance over the PViC baseline, achieving a V-COCO mAP of 0.7142 and a HICO-DET mAP of 0.3374. The improvement in the non-rare category (0.3477 → 0.3539) confirms that human-centric priors provide broader generalization benefits. The filtered keypoint configuration performs between the baseline and the full 17-keypoint model, suggesting that keypoint quality has a measurable impact on the effectiveness of positional embedding refinement.</w:t>
          </w:r>
        </w:sdtContent>
      </w:sdt>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07A">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[1] Carion, N., Massa, F., Synnaeve, G., Usunier, N., Kirillov, A., &amp; Zagoruyko, S. (2020). End-to-end object detection with transformers. In Proceedings of the European Conference on Computer Vision (ECCV), Springer International Publishing.</w:t>
      </w:r>
      <w:r w:rsidDel="00000000" w:rsidR="00000000" w:rsidRPr="00000000">
        <w:rPr>
          <w:rtl w:val="0"/>
        </w:rPr>
      </w:r>
    </w:p>
    <w:p w:rsidR="00000000" w:rsidDel="00000000" w:rsidP="00000000" w:rsidRDefault="00000000" w:rsidRPr="00000000" w14:paraId="0000007B">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[2] Zhang, Y., et al. (2023). PViC: Position-Aware Visual Interaction Chains for HOI Detection.</w:t>
      </w:r>
      <w:r w:rsidDel="00000000" w:rsidR="00000000" w:rsidRPr="00000000">
        <w:rPr>
          <w:rtl w:val="0"/>
        </w:rPr>
      </w:r>
    </w:p>
    <w:p w:rsidR="00000000" w:rsidDel="00000000" w:rsidP="00000000" w:rsidRDefault="00000000" w:rsidRPr="00000000" w14:paraId="0000007C">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[3] Zou, C., et al. (2021). End-to-end human object interaction detection with HOI transformer. In CVPR.</w:t>
      </w:r>
      <w:r w:rsidDel="00000000" w:rsidR="00000000" w:rsidRPr="00000000">
        <w:rPr>
          <w:rtl w:val="0"/>
        </w:rPr>
      </w:r>
    </w:p>
    <w:p w:rsidR="00000000" w:rsidDel="00000000" w:rsidP="00000000" w:rsidRDefault="00000000" w:rsidRPr="00000000" w14:paraId="0000007D">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[4] Kim, B., et al. (2021). HOTR: End-to-end human-object interaction detection with transformers. In CVPR.</w:t>
      </w:r>
      <w:r w:rsidDel="00000000" w:rsidR="00000000" w:rsidRPr="00000000">
        <w:rPr>
          <w:rtl w:val="0"/>
        </w:rPr>
      </w:r>
    </w:p>
    <w:p w:rsidR="00000000" w:rsidDel="00000000" w:rsidP="00000000" w:rsidRDefault="00000000" w:rsidRPr="00000000" w14:paraId="0000007E">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[5] Liu, S., et al. (2023). HORP: 3D Location and Gaze Priors for Human-Object Interaction Detection.</w:t>
      </w:r>
      <w:r w:rsidDel="00000000" w:rsidR="00000000" w:rsidRPr="00000000">
        <w:rPr>
          <w:rtl w:val="0"/>
        </w:rPr>
      </w:r>
    </w:p>
    <w:p w:rsidR="00000000" w:rsidDel="00000000" w:rsidP="00000000" w:rsidRDefault="00000000" w:rsidRPr="00000000" w14:paraId="0000007F">
      <w:pPr>
        <w:spacing w:after="160" w:before="0" w:line="276" w:lineRule="auto"/>
        <w:jc w:val="left"/>
        <w:rPr/>
      </w:pPr>
      <w:r w:rsidDel="00000000" w:rsidR="00000000" w:rsidRPr="00000000">
        <w:rPr>
          <w:rFonts w:ascii="Times New Roman" w:cs="Times New Roman" w:eastAsia="Times New Roman" w:hAnsi="Times New Roman"/>
          <w:sz w:val="24"/>
          <w:szCs w:val="24"/>
          <w:rtl w:val="0"/>
        </w:rPr>
        <w:t xml:space="preserve">[6] Radford, A., et al. (2021). Learning transferable visual models from natural language supervision. In ICML.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509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tNvP87e8I3ZGd1dwVFrjrDgfw==">CgMxLjAaIwoBMBIeChwIB0IYCg9UaW1lcyBOZXcgUm9tYW4SBUNhcmRvGiMKATESHgocCAdCGAoPVGltZXMgTmV3IFJvbWFuEgVDYXJkbxofCgEyEhoKGAgHQhQKC0NvdXJpZXIgTmV3EgVDYXJkbxojCgEzEh4KHAgHQhgKD1RpbWVzIE5ldyBSb21hbhIFQ2FyZG8aIwoBNBIeChwIB0IYCg9UaW1lcyBOZXcgUm9tYW4SBUNhcmRvOAByITFOMF9xZm02c0szc2lmN0s2Z2RsaG1YT3YzNXd0aTF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