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53" w:rsidRDefault="00A36431">
      <w:r>
        <w:t xml:space="preserve">Lo schema </w:t>
      </w:r>
      <w:proofErr w:type="spellStart"/>
      <w:r>
        <w:t>DIOGENE_GIT</w:t>
      </w:r>
      <w:proofErr w:type="spellEnd"/>
      <w:r>
        <w:t xml:space="preserve"> è lo schema principale della banca dati GIT, altri schemi sono presenti (come si può vedere dai sinonimi presenti nello schema)</w:t>
      </w:r>
      <w:r w:rsidR="00513153">
        <w:t xml:space="preserve"> ma le banche dati principali sono all’interno dello schema GIT (Tributi, Demografia, Concessioni Edilizie, Redditi ed altre banche dati esterne).</w:t>
      </w:r>
    </w:p>
    <w:p w:rsidR="00513153" w:rsidRDefault="00513153"/>
    <w:p w:rsidR="00A36431" w:rsidRDefault="00513153">
      <w:r>
        <w:t xml:space="preserve">Le tabelle in </w:t>
      </w:r>
      <w:proofErr w:type="spellStart"/>
      <w:r>
        <w:t>diogene</w:t>
      </w:r>
      <w:proofErr w:type="spellEnd"/>
      <w:r>
        <w:t xml:space="preserve"> sono così organizzate, secondo la loro nomenclatura (si riportano quelle di interesse):</w:t>
      </w:r>
    </w:p>
    <w:p w:rsidR="00513153" w:rsidRDefault="00513153">
      <w:proofErr w:type="spellStart"/>
      <w:r>
        <w:t>Bod_</w:t>
      </w:r>
      <w:proofErr w:type="spellEnd"/>
      <w:r>
        <w:t xml:space="preserve">: tabelle del gestionale Back Office </w:t>
      </w:r>
      <w:proofErr w:type="spellStart"/>
      <w:r>
        <w:t>Docfa</w:t>
      </w:r>
      <w:proofErr w:type="spellEnd"/>
    </w:p>
    <w:p w:rsidR="00513153" w:rsidRDefault="00513153">
      <w:proofErr w:type="spellStart"/>
      <w:r>
        <w:t>DOCFA_</w:t>
      </w:r>
      <w:proofErr w:type="spellEnd"/>
      <w:r>
        <w:t xml:space="preserve">: tabelle contenenti le forniture </w:t>
      </w:r>
      <w:proofErr w:type="spellStart"/>
      <w:r>
        <w:t>docfa</w:t>
      </w:r>
      <w:proofErr w:type="spellEnd"/>
      <w:r>
        <w:t xml:space="preserve"> dell’</w:t>
      </w:r>
      <w:proofErr w:type="spellStart"/>
      <w:r>
        <w:t>AdT</w:t>
      </w:r>
      <w:proofErr w:type="spellEnd"/>
    </w:p>
    <w:p w:rsidR="00513153" w:rsidRDefault="00513153">
      <w:proofErr w:type="spellStart"/>
      <w:r>
        <w:t>RED_</w:t>
      </w:r>
      <w:proofErr w:type="spellEnd"/>
      <w:r>
        <w:t>: Redditi</w:t>
      </w:r>
    </w:p>
    <w:p w:rsidR="00513153" w:rsidRDefault="00513153">
      <w:proofErr w:type="spellStart"/>
      <w:r>
        <w:t>SIT_CAT</w:t>
      </w:r>
      <w:proofErr w:type="spellEnd"/>
      <w:r>
        <w:t>: planimetrie comma 340</w:t>
      </w:r>
    </w:p>
    <w:p w:rsidR="00513153" w:rsidRDefault="00513153">
      <w:proofErr w:type="spellStart"/>
      <w:r>
        <w:t>SIT_C</w:t>
      </w:r>
      <w:proofErr w:type="spellEnd"/>
      <w:r>
        <w:t>: Concessioni edilizie</w:t>
      </w:r>
    </w:p>
    <w:p w:rsidR="00513153" w:rsidRDefault="00513153">
      <w:proofErr w:type="spellStart"/>
      <w:r>
        <w:t>SIT_D</w:t>
      </w:r>
      <w:proofErr w:type="spellEnd"/>
      <w:r>
        <w:t xml:space="preserve">: Anagrafe </w:t>
      </w:r>
      <w:proofErr w:type="spellStart"/>
      <w:r>
        <w:t>demiografica</w:t>
      </w:r>
      <w:proofErr w:type="spellEnd"/>
    </w:p>
    <w:p w:rsidR="00513153" w:rsidRDefault="00513153">
      <w:proofErr w:type="spellStart"/>
      <w:r>
        <w:t>SIT_ENEL</w:t>
      </w:r>
      <w:proofErr w:type="spellEnd"/>
      <w:r>
        <w:t>: Forniture elettriche</w:t>
      </w:r>
    </w:p>
    <w:p w:rsidR="00513153" w:rsidRDefault="00513153">
      <w:proofErr w:type="spellStart"/>
      <w:r>
        <w:t>SIT_LICENZE</w:t>
      </w:r>
      <w:proofErr w:type="spellEnd"/>
      <w:r>
        <w:t>:</w:t>
      </w:r>
      <w:proofErr w:type="spellStart"/>
      <w:r>
        <w:t>_COMMERCIO</w:t>
      </w:r>
      <w:proofErr w:type="spellEnd"/>
      <w:r>
        <w:t>: Licenze commerciali</w:t>
      </w:r>
    </w:p>
    <w:p w:rsidR="00513153" w:rsidRDefault="00513153">
      <w:proofErr w:type="spellStart"/>
      <w:r>
        <w:t>SIT_RTT</w:t>
      </w:r>
      <w:proofErr w:type="spellEnd"/>
      <w:r>
        <w:t>: Rette scolastiche</w:t>
      </w:r>
    </w:p>
    <w:p w:rsidR="00513153" w:rsidRDefault="00513153">
      <w:proofErr w:type="spellStart"/>
      <w:r>
        <w:t>SIT_T</w:t>
      </w:r>
      <w:proofErr w:type="spellEnd"/>
      <w:r>
        <w:t>: Tributi</w:t>
      </w:r>
    </w:p>
    <w:p w:rsidR="00A726E1" w:rsidRDefault="00A726E1">
      <w:r>
        <w:t>SIT_U_GAS: utenze gas</w:t>
      </w:r>
    </w:p>
    <w:p w:rsidR="00513153" w:rsidRDefault="004A0819">
      <w:r>
        <w:t>SUCCESSIONI_ : Atti di successione</w:t>
      </w:r>
    </w:p>
    <w:p w:rsidR="004A0819" w:rsidRDefault="004A0819">
      <w:r>
        <w:t>Altre banche dati come per esempio le compravendite sono contenute in altri schemi.</w:t>
      </w:r>
    </w:p>
    <w:p w:rsidR="004A0819" w:rsidRDefault="004A0819"/>
    <w:p w:rsidR="004A0819" w:rsidRDefault="004A0819">
      <w:r>
        <w:t>Le viste J_* sono viste che permettono di “saltare” da una tipologia di informazione all’altra nell’indice di correlazione: per esempio saltare con la chiave di un soggetto in demografia verso i record contenenti i soggetti correlati nei tributi (J_CIV_ANA_TRIB).</w:t>
      </w:r>
    </w:p>
    <w:p w:rsidR="004A0819" w:rsidRDefault="004A0819">
      <w:r>
        <w:t xml:space="preserve">Le chiavi con le quali accedere alle tabelle J_* sono quelle identificate dall’alias </w:t>
      </w:r>
      <w:proofErr w:type="spellStart"/>
      <w:r>
        <w:t>ID_DWH</w:t>
      </w:r>
      <w:proofErr w:type="spellEnd"/>
      <w:r>
        <w:t xml:space="preserve"> nelle </w:t>
      </w:r>
      <w:proofErr w:type="spellStart"/>
      <w:r>
        <w:t>query</w:t>
      </w:r>
      <w:proofErr w:type="spellEnd"/>
      <w:r>
        <w:t xml:space="preserve"> contenute in </w:t>
      </w:r>
      <w:proofErr w:type="spellStart"/>
      <w:r>
        <w:t>caricatori.sql.</w:t>
      </w:r>
      <w:proofErr w:type="spellEnd"/>
    </w:p>
    <w:p w:rsidR="004A0819" w:rsidRDefault="004A0819">
      <w:r>
        <w:t xml:space="preserve">Le informazioni nell’indice di correlazione sono organizzate secondo le seguenti </w:t>
      </w:r>
      <w:proofErr w:type="spellStart"/>
      <w:r>
        <w:t>decodifiche</w:t>
      </w:r>
      <w:proofErr w:type="spellEnd"/>
      <w:r>
        <w:t>:</w:t>
      </w:r>
    </w:p>
    <w:p w:rsidR="004A0819" w:rsidRDefault="004A0819"/>
    <w:tbl>
      <w:tblPr>
        <w:tblW w:w="334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"/>
        <w:gridCol w:w="614"/>
        <w:gridCol w:w="1490"/>
        <w:gridCol w:w="2467"/>
        <w:gridCol w:w="1832"/>
      </w:tblGrid>
      <w:tr w:rsidR="004A0819" w:rsidRPr="00904FB8" w:rsidTr="00904FB8">
        <w:trPr>
          <w:tblCellSpacing w:w="15" w:type="dxa"/>
        </w:trPr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b/>
                <w:bCs/>
                <w:sz w:val="12"/>
                <w:szCs w:val="24"/>
              </w:rPr>
            </w:pPr>
            <w:r w:rsidRPr="004A0819">
              <w:rPr>
                <w:rFonts w:ascii="Times New Roman" w:hAnsi="Times New Roman"/>
                <w:b/>
                <w:bCs/>
                <w:sz w:val="12"/>
                <w:szCs w:val="24"/>
              </w:rPr>
              <w:t>FK_ENTE_SORGENTE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b/>
                <w:bCs/>
                <w:sz w:val="12"/>
                <w:szCs w:val="24"/>
              </w:rPr>
            </w:pPr>
            <w:proofErr w:type="spellStart"/>
            <w:r w:rsidRPr="004A0819">
              <w:rPr>
                <w:rFonts w:ascii="Times New Roman" w:hAnsi="Times New Roman"/>
                <w:b/>
                <w:bCs/>
                <w:sz w:val="12"/>
                <w:szCs w:val="24"/>
              </w:rPr>
              <w:t>PROG_ES</w:t>
            </w:r>
            <w:proofErr w:type="spellEnd"/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b/>
                <w:bCs/>
                <w:sz w:val="12"/>
                <w:szCs w:val="24"/>
              </w:rPr>
            </w:pPr>
            <w:r w:rsidRPr="004A0819">
              <w:rPr>
                <w:rFonts w:ascii="Times New Roman" w:hAnsi="Times New Roman"/>
                <w:b/>
                <w:bCs/>
                <w:sz w:val="12"/>
                <w:szCs w:val="24"/>
              </w:rPr>
              <w:t>CODICE_FONTE_DATI</w:t>
            </w:r>
          </w:p>
        </w:tc>
        <w:tc>
          <w:tcPr>
            <w:tcW w:w="1585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b/>
                <w:bCs/>
                <w:sz w:val="12"/>
                <w:szCs w:val="24"/>
              </w:rPr>
            </w:pPr>
            <w:r w:rsidRPr="004A0819">
              <w:rPr>
                <w:rFonts w:ascii="Times New Roman" w:hAnsi="Times New Roman"/>
                <w:b/>
                <w:bCs/>
                <w:sz w:val="12"/>
                <w:szCs w:val="24"/>
              </w:rPr>
              <w:t>DESCRIZIONE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b/>
                <w:bCs/>
                <w:sz w:val="12"/>
                <w:szCs w:val="24"/>
              </w:rPr>
            </w:pPr>
            <w:proofErr w:type="spellStart"/>
            <w:r w:rsidRPr="004A0819">
              <w:rPr>
                <w:rFonts w:ascii="Times New Roman" w:hAnsi="Times New Roman"/>
                <w:b/>
                <w:bCs/>
                <w:sz w:val="12"/>
                <w:szCs w:val="24"/>
              </w:rPr>
              <w:t>TIPO_INFORMAZIONE</w:t>
            </w:r>
            <w:proofErr w:type="spellEnd"/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DEMOGRAFIA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DEMOGRAFIA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PERSONE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TRIBUTI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TRIBUTI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SOGGETTI ICI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TRIBUTI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TRIBUTI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OGGETTI ICI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3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TRIBUTI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TRIBUTI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OGGETTI TARSU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4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TRIBUTI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TRIBUTI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SOGGETTI TARSU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3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CONCEDI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CONCEDI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SOGGETTI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3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CONCEDI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CONCEDI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PRATICHE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4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CATASTO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CATASTO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IMMOBILI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4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CATASTO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CATASTO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TOPONOMASTICA COMUNALE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4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3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CATASTO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CATASTO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CONDUZIONI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4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4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CATASTO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CATASTO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TOPONOMASTICA CATASTALE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5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LOCAZIONI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 xml:space="preserve">CONTRATTI </w:t>
            </w:r>
            <w:proofErr w:type="spellStart"/>
            <w:r w:rsidRPr="004A0819">
              <w:rPr>
                <w:rFonts w:ascii="Times New Roman" w:hAnsi="Times New Roman"/>
                <w:sz w:val="12"/>
                <w:szCs w:val="24"/>
              </w:rPr>
              <w:t>DI</w:t>
            </w:r>
            <w:proofErr w:type="spellEnd"/>
            <w:r w:rsidRPr="004A0819">
              <w:rPr>
                <w:rFonts w:ascii="Times New Roman" w:hAnsi="Times New Roman"/>
                <w:sz w:val="12"/>
                <w:szCs w:val="24"/>
              </w:rPr>
              <w:t xml:space="preserve"> LOCAZIONE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IMMOBILI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5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LOCAZIONI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 xml:space="preserve">CONTRATTI </w:t>
            </w:r>
            <w:proofErr w:type="spellStart"/>
            <w:r w:rsidRPr="004A0819">
              <w:rPr>
                <w:rFonts w:ascii="Times New Roman" w:hAnsi="Times New Roman"/>
                <w:sz w:val="12"/>
                <w:szCs w:val="24"/>
              </w:rPr>
              <w:t>DI</w:t>
            </w:r>
            <w:proofErr w:type="spellEnd"/>
            <w:r w:rsidRPr="004A0819">
              <w:rPr>
                <w:rFonts w:ascii="Times New Roman" w:hAnsi="Times New Roman"/>
                <w:sz w:val="12"/>
                <w:szCs w:val="24"/>
              </w:rPr>
              <w:t xml:space="preserve"> LOCAZIONE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SOGGETTI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6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SUCCESSIONI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SUCCESSIONI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DEFUNTI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6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SUCCESSIONI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SUCCESSIONI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EREDI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6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3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SUCCESSIONI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SUCCESSIONI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OGGETTI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7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COMPRAVENDITE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COMPRAVENDITE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SOGGETTI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7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COMPRAVENDITE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COMPRAVENDITE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OGGETTO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8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ACQUA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FORNITURE IDRICHE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FORNITURE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8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ACQUA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FORNITURE IDRICHE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UTENTI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9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DOCFA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DOCFA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DICHIARANTI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9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DOCFA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DOCFA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TECNICI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9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3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DOCFA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DOCFA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OGGETTI INTERVENTO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10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FORNITURE ELETTRICHE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FORNITURE ELETTRICHE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UTENTI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10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FORNITURE ELETTRICHE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FORNITURE ELETTRICHE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UTENZE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11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REDDITI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REDDITI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DICHIARANTI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12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GAS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FORNITURE GAS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UTENZE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lastRenderedPageBreak/>
              <w:t>13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LICCOMMERCIALI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LICENZE COMMERCIALI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LICENZE COMMERCIALI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14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COSAP/TOSAP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CANONE / TASSA OCCUPAZIONE SUOLO P.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CONTRIBUENTE</w:t>
            </w:r>
          </w:p>
        </w:tc>
      </w:tr>
      <w:tr w:rsidR="00904FB8" w:rsidRPr="00904FB8" w:rsidTr="00904FB8">
        <w:trPr>
          <w:tblCellSpacing w:w="15" w:type="dxa"/>
        </w:trPr>
        <w:tc>
          <w:tcPr>
            <w:tcW w:w="844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14</w:t>
            </w:r>
          </w:p>
        </w:tc>
        <w:tc>
          <w:tcPr>
            <w:tcW w:w="378" w:type="pct"/>
            <w:noWrap/>
            <w:vAlign w:val="center"/>
            <w:hideMark/>
          </w:tcPr>
          <w:p w:rsidR="004A0819" w:rsidRPr="004A0819" w:rsidRDefault="004A0819" w:rsidP="004A0819">
            <w:pPr>
              <w:jc w:val="righ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2</w:t>
            </w:r>
          </w:p>
        </w:tc>
        <w:tc>
          <w:tcPr>
            <w:tcW w:w="940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COSAP/TOSAP</w:t>
            </w:r>
          </w:p>
        </w:tc>
        <w:tc>
          <w:tcPr>
            <w:tcW w:w="158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CANONE / TASSA OCCUPAZIONE SUOLO P.</w:t>
            </w:r>
          </w:p>
        </w:tc>
        <w:tc>
          <w:tcPr>
            <w:tcW w:w="1115" w:type="pct"/>
            <w:noWrap/>
            <w:vAlign w:val="center"/>
            <w:hideMark/>
          </w:tcPr>
          <w:p w:rsidR="004A0819" w:rsidRPr="004A0819" w:rsidRDefault="004A0819" w:rsidP="004A0819">
            <w:pPr>
              <w:jc w:val="left"/>
              <w:rPr>
                <w:rFonts w:ascii="Times New Roman" w:hAnsi="Times New Roman"/>
                <w:sz w:val="12"/>
                <w:szCs w:val="24"/>
              </w:rPr>
            </w:pPr>
            <w:r w:rsidRPr="004A0819">
              <w:rPr>
                <w:rFonts w:ascii="Times New Roman" w:hAnsi="Times New Roman"/>
                <w:sz w:val="12"/>
                <w:szCs w:val="24"/>
              </w:rPr>
              <w:t>TASSA</w:t>
            </w:r>
          </w:p>
        </w:tc>
      </w:tr>
    </w:tbl>
    <w:p w:rsidR="004A0819" w:rsidRDefault="004A0819"/>
    <w:p w:rsidR="00513153" w:rsidRDefault="00513153"/>
    <w:p w:rsidR="00513153" w:rsidRDefault="00513153"/>
    <w:p w:rsidR="00A36431" w:rsidRDefault="00C16CA4">
      <w:r>
        <w:t>Nel file e</w:t>
      </w:r>
      <w:r w:rsidR="00443C31">
        <w:t xml:space="preserve">lenco </w:t>
      </w:r>
      <w:r>
        <w:t>-</w:t>
      </w:r>
      <w:r w:rsidR="00443C31">
        <w:t xml:space="preserve"> </w:t>
      </w:r>
      <w:r>
        <w:t>diagnostiche.xls ci sono le diagnostiche presenti a sistema, altre richieste pervenute dai Clienti in merito alle diagnostiche</w:t>
      </w:r>
      <w:r w:rsidR="00A726E1">
        <w:t xml:space="preserve">: </w:t>
      </w:r>
    </w:p>
    <w:p w:rsidR="00A726E1" w:rsidRDefault="00A726E1"/>
    <w:p w:rsidR="00A726E1" w:rsidRPr="00A726E1" w:rsidRDefault="00A726E1" w:rsidP="00A726E1">
      <w:pPr>
        <w:pStyle w:val="Paragrafoelenco"/>
        <w:numPr>
          <w:ilvl w:val="0"/>
          <w:numId w:val="5"/>
        </w:numPr>
      </w:pPr>
      <w:r w:rsidRPr="00A726E1">
        <w:t xml:space="preserve">Prendo tutti i codici fiscali presenti nelle </w:t>
      </w:r>
      <w:proofErr w:type="spellStart"/>
      <w:r w:rsidRPr="00A726E1">
        <w:t>dichiarazionei</w:t>
      </w:r>
      <w:proofErr w:type="spellEnd"/>
      <w:r w:rsidRPr="00A726E1">
        <w:t xml:space="preserve"> GAS e ENEL. Verifica se non sono residenti e prendo quelli non riscontrati nella banca dati anagrafica. Verifico se sono presenti nella banca dati TARSU: se non procedo con l’accertamento.</w:t>
      </w:r>
    </w:p>
    <w:p w:rsidR="00A726E1" w:rsidRDefault="00A726E1">
      <w:pPr>
        <w:rPr>
          <w:rFonts w:ascii="Verdana" w:hAnsi="Verdana"/>
          <w:szCs w:val="24"/>
        </w:rPr>
      </w:pPr>
    </w:p>
    <w:p w:rsidR="00A726E1" w:rsidRDefault="00A726E1" w:rsidP="00A726E1">
      <w:pPr>
        <w:pStyle w:val="Paragrafoelenco"/>
        <w:numPr>
          <w:ilvl w:val="0"/>
          <w:numId w:val="5"/>
        </w:numPr>
      </w:pPr>
      <w:r w:rsidRPr="00A726E1">
        <w:t>diagnostica dalla quale si evidenzino i palazzi che hanno un numero di unità immobiliari superiore al numero di oggetti TARSU</w:t>
      </w:r>
    </w:p>
    <w:p w:rsidR="00B5476E" w:rsidRDefault="00B5476E" w:rsidP="00B5476E">
      <w:pPr>
        <w:pStyle w:val="Paragrafoelenco"/>
      </w:pPr>
    </w:p>
    <w:p w:rsidR="00B5476E" w:rsidRDefault="00B5476E" w:rsidP="00A726E1">
      <w:pPr>
        <w:pStyle w:val="Paragrafoelenco"/>
        <w:numPr>
          <w:ilvl w:val="0"/>
          <w:numId w:val="5"/>
        </w:numPr>
      </w:pPr>
      <w:r w:rsidRPr="00B5476E">
        <w:t>Elenco unità immobiliari con titolari non residenti</w:t>
      </w:r>
    </w:p>
    <w:p w:rsidR="00B5476E" w:rsidRDefault="00B5476E" w:rsidP="00B5476E">
      <w:pPr>
        <w:pStyle w:val="Paragrafoelenco"/>
      </w:pPr>
    </w:p>
    <w:p w:rsidR="00B5476E" w:rsidRDefault="00B5476E" w:rsidP="00A726E1">
      <w:pPr>
        <w:pStyle w:val="Paragrafoelenco"/>
        <w:numPr>
          <w:ilvl w:val="0"/>
          <w:numId w:val="5"/>
        </w:numPr>
      </w:pPr>
      <w:r>
        <w:t>Somma delle superfici catastali suddivise per categoria (tutto il comune)</w:t>
      </w:r>
    </w:p>
    <w:p w:rsidR="00A726E1" w:rsidRDefault="00A726E1" w:rsidP="00A726E1">
      <w:pPr>
        <w:pStyle w:val="Paragrafoelenco"/>
      </w:pPr>
    </w:p>
    <w:p w:rsidR="00B5476E" w:rsidRDefault="00B5476E" w:rsidP="00B5476E">
      <w:pPr>
        <w:pStyle w:val="Paragrafoelenco"/>
        <w:numPr>
          <w:ilvl w:val="0"/>
          <w:numId w:val="5"/>
        </w:numPr>
      </w:pPr>
      <w:r>
        <w:t xml:space="preserve">variazione del </w:t>
      </w:r>
      <w:proofErr w:type="spellStart"/>
      <w:r>
        <w:t>classamento</w:t>
      </w:r>
      <w:proofErr w:type="spellEnd"/>
      <w:r>
        <w:t xml:space="preserve"> catastale intervenute per un dato periodo. </w:t>
      </w:r>
    </w:p>
    <w:p w:rsidR="00B5476E" w:rsidRDefault="00B5476E" w:rsidP="00B5476E">
      <w:pPr>
        <w:pStyle w:val="Paragrafoelenco"/>
      </w:pPr>
    </w:p>
    <w:p w:rsidR="00B5476E" w:rsidRDefault="00B5476E" w:rsidP="00B5476E">
      <w:pPr>
        <w:pStyle w:val="Paragrafoelenco"/>
        <w:numPr>
          <w:ilvl w:val="0"/>
          <w:numId w:val="5"/>
        </w:numPr>
      </w:pPr>
      <w:r>
        <w:t xml:space="preserve">elenco case sfitte con consistenti spese </w:t>
      </w:r>
      <w:proofErr w:type="spellStart"/>
      <w:r>
        <w:t>enel</w:t>
      </w:r>
      <w:proofErr w:type="spellEnd"/>
      <w:r>
        <w:t xml:space="preserve"> e/o gas (eventualmente la soglia di spesa a parametro) </w:t>
      </w:r>
    </w:p>
    <w:p w:rsidR="00B5476E" w:rsidRDefault="00B5476E" w:rsidP="00B5476E">
      <w:pPr>
        <w:pStyle w:val="Paragrafoelenco"/>
        <w:numPr>
          <w:ilvl w:val="0"/>
          <w:numId w:val="5"/>
        </w:numPr>
      </w:pPr>
      <w:r>
        <w:t xml:space="preserve">estrazione di tutti i </w:t>
      </w:r>
      <w:proofErr w:type="spellStart"/>
      <w:r>
        <w:t>i</w:t>
      </w:r>
      <w:proofErr w:type="spellEnd"/>
      <w:r>
        <w:t xml:space="preserve"> nuclei famigliari in cui non c'è nessuno che paga la </w:t>
      </w:r>
      <w:proofErr w:type="spellStart"/>
      <w:r>
        <w:t>tarsu</w:t>
      </w:r>
      <w:proofErr w:type="spellEnd"/>
      <w:r>
        <w:t xml:space="preserve"> </w:t>
      </w:r>
    </w:p>
    <w:p w:rsidR="00A726E1" w:rsidRDefault="00B5476E" w:rsidP="00B5476E">
      <w:pPr>
        <w:pStyle w:val="Paragrafoelenco"/>
        <w:numPr>
          <w:ilvl w:val="0"/>
          <w:numId w:val="5"/>
        </w:numPr>
      </w:pPr>
      <w:r>
        <w:t>estrazione del numero di famiglie e di unità immobiliari per un numero civico, eventualmente associando ad ogni famiglia l'UI in cui abita</w:t>
      </w:r>
    </w:p>
    <w:p w:rsidR="00B5476E" w:rsidRDefault="00B5476E" w:rsidP="00B5476E">
      <w:pPr>
        <w:pStyle w:val="Paragrafoelenco"/>
        <w:numPr>
          <w:ilvl w:val="0"/>
          <w:numId w:val="5"/>
        </w:numPr>
      </w:pPr>
      <w:r>
        <w:t xml:space="preserve">elenco dei civici ai quali risultano un numero di nuclei familiari maggiori del numero di unità di tipo abitativo (categoria =A1 </w:t>
      </w:r>
      <w:r>
        <w:sym w:font="Wingdings" w:char="F0E0"/>
      </w:r>
      <w:r>
        <w:t xml:space="preserve"> A9)</w:t>
      </w:r>
    </w:p>
    <w:p w:rsidR="00B5476E" w:rsidRDefault="00B5476E" w:rsidP="00B5476E"/>
    <w:p w:rsidR="005551AC" w:rsidRDefault="005551AC" w:rsidP="00B5476E"/>
    <w:p w:rsidR="005551AC" w:rsidRDefault="005551AC" w:rsidP="00B5476E"/>
    <w:p w:rsidR="005551AC" w:rsidRDefault="005551AC" w:rsidP="00B5476E"/>
    <w:p w:rsidR="00B5476E" w:rsidRDefault="00B5476E" w:rsidP="00B5476E">
      <w:pPr>
        <w:pStyle w:val="Paragrafoelenco"/>
      </w:pPr>
    </w:p>
    <w:sectPr w:rsidR="00B5476E" w:rsidSect="00B730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650C"/>
    <w:multiLevelType w:val="hybridMultilevel"/>
    <w:tmpl w:val="B83EC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197A"/>
    <w:multiLevelType w:val="multilevel"/>
    <w:tmpl w:val="FF029342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1509"/>
        </w:tabs>
        <w:ind w:left="1509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941"/>
        </w:tabs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7"/>
        </w:tabs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7"/>
        </w:tabs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7"/>
        </w:tabs>
        <w:ind w:left="5037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283"/>
  <w:characterSpacingControl w:val="doNotCompress"/>
  <w:compat/>
  <w:rsids>
    <w:rsidRoot w:val="00A36431"/>
    <w:rsid w:val="002A46E5"/>
    <w:rsid w:val="003D14D1"/>
    <w:rsid w:val="00443C31"/>
    <w:rsid w:val="00480840"/>
    <w:rsid w:val="004A0819"/>
    <w:rsid w:val="00513153"/>
    <w:rsid w:val="005551AC"/>
    <w:rsid w:val="006B6962"/>
    <w:rsid w:val="00834166"/>
    <w:rsid w:val="008B5FC9"/>
    <w:rsid w:val="008E26F6"/>
    <w:rsid w:val="00904FB8"/>
    <w:rsid w:val="009054FB"/>
    <w:rsid w:val="00A36431"/>
    <w:rsid w:val="00A53F53"/>
    <w:rsid w:val="00A726E1"/>
    <w:rsid w:val="00B5476E"/>
    <w:rsid w:val="00B73084"/>
    <w:rsid w:val="00C16CA4"/>
    <w:rsid w:val="00C73041"/>
    <w:rsid w:val="00C73D96"/>
    <w:rsid w:val="00E05F1F"/>
    <w:rsid w:val="00F85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26F6"/>
    <w:pPr>
      <w:spacing w:after="0" w:line="240" w:lineRule="auto"/>
      <w:jc w:val="both"/>
    </w:pPr>
    <w:rPr>
      <w:rFonts w:ascii="Book Antiqua" w:hAnsi="Book Antiqua" w:cs="Times New Roman"/>
      <w:sz w:val="24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autoRedefine/>
    <w:qFormat/>
    <w:rsid w:val="006B6962"/>
    <w:pPr>
      <w:widowControl w:val="0"/>
      <w:numPr>
        <w:ilvl w:val="1"/>
        <w:numId w:val="4"/>
      </w:numPr>
      <w:suppressAutoHyphens/>
      <w:spacing w:before="120" w:after="240"/>
      <w:outlineLvl w:val="1"/>
    </w:pPr>
    <w:rPr>
      <w:smallCaps/>
      <w:sz w:val="28"/>
      <w:lang w:eastAsia="ar-SA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696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autoRedefine/>
    <w:qFormat/>
    <w:rsid w:val="008E26F6"/>
    <w:pPr>
      <w:spacing w:before="100" w:beforeAutospacing="1" w:after="100" w:afterAutospacing="1"/>
      <w:jc w:val="center"/>
      <w:outlineLvl w:val="3"/>
    </w:pPr>
    <w:rPr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6B6962"/>
    <w:rPr>
      <w:rFonts w:ascii="Book Antiqua" w:eastAsia="Times New Roman" w:hAnsi="Book Antiqua" w:cs="Times New Roman"/>
      <w:smallCaps/>
      <w:sz w:val="28"/>
      <w:szCs w:val="20"/>
      <w:lang w:eastAsia="ar-SA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69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sto2">
    <w:name w:val="testo2"/>
    <w:basedOn w:val="Titolo2"/>
    <w:autoRedefine/>
    <w:qFormat/>
    <w:rsid w:val="008E26F6"/>
    <w:pPr>
      <w:widowControl/>
      <w:numPr>
        <w:ilvl w:val="0"/>
        <w:numId w:val="0"/>
      </w:numPr>
      <w:tabs>
        <w:tab w:val="left" w:pos="993"/>
      </w:tabs>
      <w:suppressAutoHyphens w:val="0"/>
      <w:spacing w:before="0" w:after="120"/>
      <w:ind w:left="340"/>
      <w:outlineLvl w:val="9"/>
    </w:pPr>
    <w:rPr>
      <w:smallCaps w:val="0"/>
      <w:sz w:val="24"/>
      <w:lang w:eastAsia="it-IT"/>
    </w:rPr>
  </w:style>
  <w:style w:type="paragraph" w:customStyle="1" w:styleId="testo3">
    <w:name w:val="testo3"/>
    <w:basedOn w:val="Rientronormale"/>
    <w:autoRedefine/>
    <w:rsid w:val="008E26F6"/>
    <w:pPr>
      <w:spacing w:after="120"/>
      <w:ind w:left="1701"/>
    </w:pPr>
  </w:style>
  <w:style w:type="paragraph" w:styleId="Rientronormale">
    <w:name w:val="Normal Indent"/>
    <w:basedOn w:val="Normale"/>
    <w:uiPriority w:val="99"/>
    <w:semiHidden/>
    <w:unhideWhenUsed/>
    <w:rsid w:val="008E26F6"/>
    <w:pPr>
      <w:ind w:left="708"/>
    </w:pPr>
  </w:style>
  <w:style w:type="paragraph" w:customStyle="1" w:styleId="titolo">
    <w:name w:val="titolo"/>
    <w:basedOn w:val="Normale"/>
    <w:autoRedefine/>
    <w:rsid w:val="008E26F6"/>
    <w:pPr>
      <w:tabs>
        <w:tab w:val="left" w:pos="3119"/>
        <w:tab w:val="left" w:pos="4678"/>
        <w:tab w:val="left" w:pos="4962"/>
      </w:tabs>
      <w:ind w:left="357" w:hanging="357"/>
      <w:jc w:val="center"/>
    </w:pPr>
    <w:rPr>
      <w:b/>
      <w:caps/>
    </w:rPr>
  </w:style>
  <w:style w:type="character" w:customStyle="1" w:styleId="Titolo4Carattere">
    <w:name w:val="Titolo 4 Carattere"/>
    <w:basedOn w:val="Carpredefinitoparagrafo"/>
    <w:link w:val="Titolo4"/>
    <w:rsid w:val="008E26F6"/>
    <w:rPr>
      <w:rFonts w:ascii="Book Antiqua" w:eastAsia="Times New Roman" w:hAnsi="Book Antiqua" w:cs="Times New Roman"/>
      <w:b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A726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8</cp:revision>
  <dcterms:created xsi:type="dcterms:W3CDTF">2012-04-03T08:39:00Z</dcterms:created>
  <dcterms:modified xsi:type="dcterms:W3CDTF">2013-11-26T11:25:00Z</dcterms:modified>
</cp:coreProperties>
</file>