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360"/>
        <w:jc w:val="center"/>
      </w:pPr>
      <w:r>
        <w:rPr>
          <w:rFonts w:ascii="Arial" w:hAnsi="Arial" w:eastAsia="Arial"/>
          <w:b/>
          <w:i w:val="0"/>
          <w:color w:val="A8862E"/>
          <w:sz w:val="20"/>
        </w:rPr>
        <w:t>VVVIRUZ PRESENTS</w:t>
      </w:r>
    </w:p>
    <w:p>
      <w:pPr>
        <w:spacing w:after="100"/>
        <w:jc w:val="center"/>
        <w:keepNext/>
      </w:pPr>
      <w:r>
        <w:rPr>
          <w:rFonts w:ascii="Arial" w:hAnsi="Arial" w:eastAsia="Arial"/>
          <w:b/>
          <w:i w:val="0"/>
          <w:color w:val="15171A"/>
          <w:sz w:val="62"/>
        </w:rPr>
        <w:t>ARTIST HOME</w:t>
      </w:r>
    </w:p>
    <w:p>
      <w:pPr>
        <w:spacing w:after="520"/>
        <w:jc w:val="center"/>
      </w:pPr>
      <w:r>
        <w:rPr>
          <w:rFonts w:ascii="Arial" w:hAnsi="Arial" w:eastAsia="Arial"/>
          <w:b w:val="0"/>
          <w:i w:val="0"/>
          <w:color w:val="262A30"/>
          <w:sz w:val="30"/>
        </w:rPr>
        <w:t>The managed editorial layer between an artist and every streaming link</w:t>
      </w:r>
    </w:p>
    <w:p>
      <w:pPr>
        <w:spacing w:before="0" w:after="500"/>
        <w:pBdr>
          <w:bottom w:val="single" w:sz="18" w:space="2" w:color="A8862E"/>
        </w:pBdr>
      </w:pPr>
    </w:p>
    <w:p>
      <w:pPr>
        <w:spacing w:after="600"/>
        <w:jc w:val="center"/>
      </w:pPr>
      <w:r>
        <w:rPr>
          <w:rFonts w:ascii="Arial" w:hAnsi="Arial" w:eastAsia="Arial"/>
          <w:b w:val="0"/>
          <w:i/>
          <w:color w:val="765B1D"/>
          <w:sz w:val="28"/>
        </w:rPr>
        <w:t>"You make the music. We turn the scattered links, raw notes, and release context into a maintained artist home fans can actually explore."</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4680"/>
        <w:gridCol w:w="4680"/>
      </w:tblGrid>
      <w:tr>
        <w:tc>
          <w:tcPr>
            <w:tcW w:type="dxa" w:w="4680"/>
            <w:shd w:fill="F4F4F2" w:val="clear"/>
            <w:vAlign w:val="center"/>
            <w:tcMar>
              <w:top w:w="100" w:type="dxa"/>
              <w:start w:w="120" w:type="dxa"/>
              <w:bottom w:w="100" w:type="dxa"/>
              <w:end w:w="120" w:type="dxa"/>
            </w:tcMar>
          </w:tcPr>
          <w:p>
            <w:pPr>
              <w:spacing w:after="40"/>
            </w:pPr>
            <w:r/>
            <w:r>
              <w:rPr>
                <w:rFonts w:ascii="Arial" w:hAnsi="Arial" w:eastAsia="Arial"/>
                <w:b/>
                <w:color w:val="A8862E"/>
                <w:sz w:val="17"/>
              </w:rPr>
              <w:t>WORKING OFFER</w:t>
            </w:r>
          </w:p>
          <w:p>
            <w:pPr>
              <w:spacing w:after="0"/>
            </w:pPr>
            <w:r>
              <w:rPr>
                <w:rFonts w:ascii="Arial" w:hAnsi="Arial" w:eastAsia="Arial"/>
                <w:color w:val="15171A"/>
                <w:sz w:val="21"/>
              </w:rPr>
              <w:t>Managed Artist Home + Featured Release Editorial</w:t>
            </w:r>
          </w:p>
        </w:tc>
        <w:tc>
          <w:tcPr>
            <w:tcW w:type="dxa" w:w="4680"/>
            <w:shd w:fill="F4F4F2" w:val="clear"/>
            <w:vAlign w:val="center"/>
            <w:tcMar>
              <w:top w:w="100" w:type="dxa"/>
              <w:start w:w="120" w:type="dxa"/>
              <w:bottom w:w="100" w:type="dxa"/>
              <w:end w:w="120" w:type="dxa"/>
            </w:tcMar>
          </w:tcPr>
          <w:p>
            <w:pPr>
              <w:spacing w:after="40"/>
            </w:pPr>
            <w:r/>
            <w:r>
              <w:rPr>
                <w:rFonts w:ascii="Arial" w:hAnsi="Arial" w:eastAsia="Arial"/>
                <w:b/>
                <w:color w:val="A8862E"/>
                <w:sz w:val="17"/>
              </w:rPr>
              <w:t>PILOT</w:t>
            </w:r>
          </w:p>
          <w:p>
            <w:pPr>
              <w:spacing w:after="0"/>
            </w:pPr>
            <w:r>
              <w:rPr>
                <w:rFonts w:ascii="Arial" w:hAnsi="Arial" w:eastAsia="Arial"/>
                <w:color w:val="15171A"/>
                <w:sz w:val="21"/>
              </w:rPr>
              <w:t>Five artists, built sequentially</w:t>
            </w:r>
          </w:p>
        </w:tc>
      </w:tr>
      <w:tr>
        <w:tc>
          <w:tcPr>
            <w:tcW w:type="dxa" w:w="4680"/>
            <w:shd w:fill="F4F4F2" w:val="clear"/>
            <w:vAlign w:val="center"/>
            <w:tcMar>
              <w:top w:w="100" w:type="dxa"/>
              <w:start w:w="120" w:type="dxa"/>
              <w:bottom w:w="100" w:type="dxa"/>
              <w:end w:w="120" w:type="dxa"/>
            </w:tcMar>
          </w:tcPr>
          <w:p>
            <w:pPr>
              <w:spacing w:after="40"/>
            </w:pPr>
            <w:r/>
            <w:r>
              <w:rPr>
                <w:rFonts w:ascii="Arial" w:hAnsi="Arial" w:eastAsia="Arial"/>
                <w:b/>
                <w:color w:val="A8862E"/>
                <w:sz w:val="17"/>
              </w:rPr>
              <w:t>PRIMARY BUYER</w:t>
            </w:r>
          </w:p>
          <w:p>
            <w:pPr>
              <w:spacing w:after="0"/>
            </w:pPr>
            <w:r>
              <w:rPr>
                <w:rFonts w:ascii="Arial" w:hAnsi="Arial" w:eastAsia="Arial"/>
                <w:color w:val="15171A"/>
                <w:sz w:val="21"/>
              </w:rPr>
              <w:t>Independent artists who do not want another dashboard</w:t>
            </w:r>
          </w:p>
        </w:tc>
        <w:tc>
          <w:tcPr>
            <w:tcW w:type="dxa" w:w="4680"/>
            <w:shd w:fill="F4F4F2" w:val="clear"/>
            <w:vAlign w:val="center"/>
            <w:tcMar>
              <w:top w:w="100" w:type="dxa"/>
              <w:start w:w="120" w:type="dxa"/>
              <w:bottom w:w="100" w:type="dxa"/>
              <w:end w:w="120" w:type="dxa"/>
            </w:tcMar>
          </w:tcPr>
          <w:p>
            <w:pPr>
              <w:spacing w:after="40"/>
            </w:pPr>
            <w:r/>
            <w:r>
              <w:rPr>
                <w:rFonts w:ascii="Arial" w:hAnsi="Arial" w:eastAsia="Arial"/>
                <w:b/>
                <w:color w:val="A8862E"/>
                <w:sz w:val="17"/>
              </w:rPr>
              <w:t>BUSINESS MODEL</w:t>
            </w:r>
          </w:p>
          <w:p>
            <w:pPr>
              <w:spacing w:after="0"/>
            </w:pPr>
            <w:r>
              <w:rPr>
                <w:rFonts w:ascii="Arial" w:hAnsi="Arial" w:eastAsia="Arial"/>
                <w:color w:val="15171A"/>
                <w:sz w:val="21"/>
              </w:rPr>
              <w:t>Setup + annual care + release-based editorial add-ons</w:t>
            </w:r>
          </w:p>
        </w:tc>
      </w:tr>
    </w:tbl>
    <w:p>
      <w:pPr>
        <w:spacing w:before="480" w:after="0"/>
        <w:jc w:val="center"/>
      </w:pPr>
      <w:r>
        <w:rPr>
          <w:rFonts w:ascii="Arial" w:hAnsi="Arial" w:eastAsia="Arial"/>
          <w:b/>
          <w:i w:val="0"/>
          <w:color w:val="15171A"/>
          <w:sz w:val="21"/>
        </w:rPr>
        <w:t>Not a link-in-bio clone. Not a website builder. A human-managed editorial service delivered through reusable software.</w:t>
      </w:r>
    </w:p>
    <w:p>
      <w:r>
        <w:br w:type="page"/>
      </w:r>
    </w:p>
    <w:p>
      <w:pPr>
        <w:pStyle w:val="Heading1"/>
      </w:pPr>
      <w:r>
        <w:rPr>
          <w:rFonts w:ascii="Arial" w:hAnsi="Arial" w:eastAsia="Arial"/>
          <w:b w:val="0"/>
          <w:i w:val="0"/>
          <w:color w:val="15171A"/>
        </w:rPr>
        <w:t>1. The pitch in one page</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7F1DF" w:val="clear"/>
          </w:tcPr>
          <w:p>
            <w:pPr>
              <w:spacing w:before="40" w:after="40" w:line="276" w:lineRule="auto"/>
            </w:pPr>
            <w:r/>
            <w:r>
              <w:rPr>
                <w:rFonts w:ascii="Arial" w:hAnsi="Arial" w:eastAsia="Arial"/>
                <w:b/>
                <w:color w:val="765B1D"/>
                <w:sz w:val="18"/>
              </w:rPr>
              <w:t xml:space="preserve">RECOMMENDATION  </w:t>
            </w:r>
            <w:r>
              <w:rPr>
                <w:rFonts w:ascii="Arial" w:hAnsi="Arial" w:eastAsia="Arial"/>
                <w:b/>
                <w:color w:val="15171A"/>
                <w:sz w:val="23"/>
              </w:rPr>
              <w:t>Proceed with the five-artist pilot, but sell the removal of work and the addition of editorial depth - not access to software.</w:t>
            </w:r>
          </w:p>
        </w:tc>
      </w:tr>
    </w:tbl>
    <w:p>
      <w:pPr>
        <w:spacing w:after="60"/>
      </w:pPr>
    </w:p>
    <w:p>
      <w:pPr>
        <w:pStyle w:val="Heading2"/>
      </w:pPr>
      <w:r>
        <w:rPr>
          <w:rFonts w:ascii="Arial" w:hAnsi="Arial" w:eastAsia="Arial"/>
          <w:b w:val="0"/>
          <w:i w:val="0"/>
          <w:color w:val="15171A"/>
        </w:rPr>
        <w:t>The problem</w:t>
      </w:r>
    </w:p>
    <w:p>
      <w:r>
        <w:rPr>
          <w:rFonts w:ascii="Arial" w:hAnsi="Arial" w:eastAsia="Arial"/>
          <w:b w:val="0"/>
          <w:i w:val="0"/>
          <w:color w:val="15171A"/>
        </w:rPr>
        <w:t>Independent artists already have tools for links, websites, presaves, stores, analytics, and fan capture. The shortage is not another dashboard. It is the time, structure, and editorial attention required to keep a public presence accurate, coherent, and worth exploring.</w:t>
      </w:r>
    </w:p>
    <w:p>
      <w:pPr>
        <w:pStyle w:val="Heading2"/>
      </w:pPr>
      <w:r>
        <w:rPr>
          <w:rFonts w:ascii="Arial" w:hAnsi="Arial" w:eastAsia="Arial"/>
          <w:b w:val="0"/>
          <w:i w:val="0"/>
          <w:color w:val="15171A"/>
        </w:rPr>
        <w:t>The offer</w:t>
      </w:r>
    </w:p>
    <w:p>
      <w:r>
        <w:rPr>
          <w:rFonts w:ascii="Arial" w:hAnsi="Arial" w:eastAsia="Arial"/>
          <w:b w:val="0"/>
          <w:i w:val="0"/>
          <w:color w:val="15171A"/>
        </w:rPr>
        <w:t>Artist Home is a managed artist presence built and maintained by vvviruz. Each artist supplies rough information and approved assets once. We shape the profile, organize the links, build one deeper release story, send a private preview, publish only after approval, and handle future updates through requests.</w:t>
      </w:r>
    </w:p>
    <w:p>
      <w:pPr>
        <w:pStyle w:val="Heading2"/>
      </w:pPr>
      <w:r>
        <w:rPr>
          <w:rFonts w:ascii="Arial" w:hAnsi="Arial" w:eastAsia="Arial"/>
          <w:b w:val="0"/>
          <w:i w:val="0"/>
          <w:color w:val="15171A"/>
        </w:rPr>
        <w:t>The sharpest version</w:t>
      </w:r>
    </w:p>
    <w:p>
      <w:pPr>
        <w:pStyle w:val="ListBullet"/>
        <w:spacing w:after="80" w:line="290" w:lineRule="auto"/>
        <w:ind w:left="720" w:hanging="360"/>
      </w:pPr>
      <w:r>
        <w:rPr>
          <w:rFonts w:ascii="Arial" w:hAnsi="Arial" w:eastAsia="Arial"/>
          <w:color w:val="15171A"/>
          <w:sz w:val="22"/>
        </w:rPr>
        <w:t>A premium artist profile with identity, a full editorial biography, a location badge with optional country flag, URL-or-upload imagery, streaming and social destinations, contact, and a fixed three-release hierarchy.</w:t>
      </w:r>
    </w:p>
    <w:p>
      <w:pPr>
        <w:pStyle w:val="ListBullet"/>
        <w:spacing w:after="80" w:line="290" w:lineRule="auto"/>
        <w:ind w:left="720" w:hanging="360"/>
      </w:pPr>
      <w:r>
        <w:rPr>
          <w:rFonts w:ascii="Arial" w:hAnsi="Arial" w:eastAsia="Arial"/>
          <w:color w:val="15171A"/>
          <w:sz w:val="22"/>
        </w:rPr>
        <w:t>One artist-selected featured release developed into a canonical editorial page with release story, context, credits, lyrics when permitted, and Breaking Barz annotations.</w:t>
      </w:r>
    </w:p>
    <w:p>
      <w:pPr>
        <w:pStyle w:val="ListBullet"/>
        <w:spacing w:after="80" w:line="290" w:lineRule="auto"/>
        <w:ind w:left="720" w:hanging="360"/>
      </w:pPr>
      <w:r>
        <w:rPr>
          <w:rFonts w:ascii="Arial" w:hAnsi="Arial" w:eastAsia="Arial"/>
          <w:color w:val="15171A"/>
          <w:sz w:val="22"/>
        </w:rPr>
        <w:t>Private, versioned approval before publication; explicit rights confirmation for submitted images, copy, and public lyrics.</w:t>
      </w:r>
    </w:p>
    <w:p>
      <w:pPr>
        <w:pStyle w:val="ListBullet"/>
        <w:spacing w:after="80" w:line="290" w:lineRule="auto"/>
        <w:ind w:left="720" w:hanging="360"/>
      </w:pPr>
      <w:r>
        <w:rPr>
          <w:rFonts w:ascii="Arial" w:hAnsi="Arial" w:eastAsia="Arial"/>
          <w:color w:val="15171A"/>
          <w:sz w:val="22"/>
        </w:rPr>
        <w:t>Managed maintenance and analytics without an artist login, page builder, theme marketplace, or billing dashboard.</w:t>
      </w:r>
    </w:p>
    <w:p>
      <w:pPr>
        <w:pStyle w:val="ListBullet"/>
        <w:spacing w:after="80" w:line="290" w:lineRule="auto"/>
        <w:ind w:left="720" w:hanging="360"/>
      </w:pPr>
      <w:r>
        <w:rPr>
          <w:rFonts w:ascii="Arial" w:hAnsi="Arial" w:eastAsia="Arial"/>
          <w:color w:val="15171A"/>
          <w:sz w:val="22"/>
        </w:rPr>
        <w:t>Collaboration sections only when they are genuinely relevant; the core offer works equally well for artists who have never collaborated with vvviruz.</w:t>
      </w:r>
    </w:p>
    <w:p>
      <w:pPr>
        <w:pStyle w:val="Heading2"/>
      </w:pPr>
      <w:r>
        <w:rPr>
          <w:rFonts w:ascii="Arial" w:hAnsi="Arial" w:eastAsia="Arial"/>
          <w:b w:val="0"/>
          <w:i w:val="0"/>
          <w:color w:val="15171A"/>
        </w:rPr>
        <w:t>The business thesis</w:t>
      </w:r>
    </w:p>
    <w:p>
      <w:r>
        <w:rPr>
          <w:rFonts w:ascii="Arial" w:hAnsi="Arial" w:eastAsia="Arial"/>
          <w:b w:val="0"/>
          <w:i w:val="0"/>
          <w:color w:val="15171A"/>
        </w:rPr>
        <w:t>Charge for human service and editorial production. Keep hosting and routine maintenance simple. Expand revenue when an artist has a new release or project - the moment the need and willingness to pay are naturally highest.</w:t>
      </w:r>
    </w:p>
    <w:p>
      <w:r>
        <w:br w:type="page"/>
      </w:r>
    </w:p>
    <w:p>
      <w:pPr>
        <w:pStyle w:val="Heading1"/>
      </w:pPr>
      <w:r>
        <w:rPr>
          <w:rFonts w:ascii="Arial" w:hAnsi="Arial" w:eastAsia="Arial"/>
          <w:b w:val="0"/>
          <w:i w:val="0"/>
          <w:color w:val="15171A"/>
        </w:rPr>
        <w:t>2. Why this deserves to exist</w:t>
      </w:r>
    </w:p>
    <w:p>
      <w:pPr>
        <w:pStyle w:val="Heading2"/>
      </w:pPr>
      <w:r>
        <w:rPr>
          <w:rFonts w:ascii="Arial" w:hAnsi="Arial" w:eastAsia="Arial"/>
          <w:b w:val="0"/>
          <w:i w:val="0"/>
          <w:color w:val="15171A"/>
        </w:rPr>
        <w:t>Smart-link software has won the utility layer</w:t>
      </w:r>
    </w:p>
    <w:p>
      <w:r>
        <w:rPr>
          <w:rFonts w:ascii="Arial" w:hAnsi="Arial" w:eastAsia="Arial"/>
          <w:b w:val="0"/>
          <w:i w:val="0"/>
          <w:color w:val="15171A"/>
        </w:rPr>
        <w:t>Linktree, Beacons, Feature.fm, Linkfire, and Winamp already cover the functional jobs of routing fans, styling a link page, tracking clicks, collecting audiences, running presaves, selling products, or building a self-service artist website. Several begin free; their paid plans are inexpensive relative to a managed service. Competing on buttons, templates, or feature count is strategically weak.</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800"/>
        <w:gridCol w:w="3760"/>
        <w:gridCol w:w="3800"/>
      </w:tblGrid>
      <w:tr>
        <w:trPr>
          <w:tblHeader w:val="true"/>
        </w:trPr>
        <w:tc>
          <w:tcPr>
            <w:tcW w:type="dxa" w:w="18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Category</w:t>
            </w:r>
          </w:p>
        </w:tc>
        <w:tc>
          <w:tcPr>
            <w:tcW w:type="dxa" w:w="37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What established platforms already do</w:t>
            </w:r>
          </w:p>
        </w:tc>
        <w:tc>
          <w:tcPr>
            <w:tcW w:type="dxa" w:w="38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Implication for Artist Home</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Link-in-bio</w:t>
            </w:r>
          </w:p>
        </w:tc>
        <w:tc>
          <w:tcPr>
            <w:tcW w:type="dxa" w:w="3760"/>
            <w:vAlign w:val="center"/>
            <w:tcMar>
              <w:top w:w="100" w:type="dxa"/>
              <w:start w:w="120" w:type="dxa"/>
              <w:bottom w:w="100" w:type="dxa"/>
              <w:end w:w="120" w:type="dxa"/>
            </w:tcMar>
          </w:tcPr>
          <w:p>
            <w:pPr>
              <w:spacing w:after="0" w:line="259" w:lineRule="auto"/>
            </w:pPr>
            <w:r/>
            <w:r>
              <w:rPr>
                <w:rFonts w:ascii="Arial" w:hAnsi="Arial" w:eastAsia="Arial"/>
                <w:color w:val="15171A"/>
                <w:sz w:val="18"/>
              </w:rPr>
              <w:t>Unlimited links, embeds, themes, analytics, audience and commerce tools.</w:t>
            </w:r>
          </w:p>
        </w:tc>
        <w:tc>
          <w:tcPr>
            <w:tcW w:type="dxa" w:w="3800"/>
            <w:vAlign w:val="center"/>
            <w:tcMar>
              <w:top w:w="100" w:type="dxa"/>
              <w:start w:w="120" w:type="dxa"/>
              <w:bottom w:w="100" w:type="dxa"/>
              <w:end w:w="120" w:type="dxa"/>
            </w:tcMar>
          </w:tcPr>
          <w:p>
            <w:pPr>
              <w:spacing w:after="0" w:line="259" w:lineRule="auto"/>
            </w:pPr>
            <w:r/>
            <w:r>
              <w:rPr>
                <w:rFonts w:ascii="Arial" w:hAnsi="Arial" w:eastAsia="Arial"/>
                <w:color w:val="15171A"/>
                <w:sz w:val="18"/>
              </w:rPr>
              <w:t>Do not compete on link aggregation or customization.</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Music smart links</w:t>
            </w:r>
          </w:p>
        </w:tc>
        <w:tc>
          <w:tcPr>
            <w:tcW w:type="dxa" w:w="3760"/>
            <w:vAlign w:val="center"/>
            <w:tcMar>
              <w:top w:w="100" w:type="dxa"/>
              <w:start w:w="120" w:type="dxa"/>
              <w:bottom w:w="100" w:type="dxa"/>
              <w:end w:w="120" w:type="dxa"/>
            </w:tcMar>
          </w:tcPr>
          <w:p>
            <w:pPr>
              <w:spacing w:after="0" w:line="259" w:lineRule="auto"/>
            </w:pPr>
            <w:r/>
            <w:r>
              <w:rPr>
                <w:rFonts w:ascii="Arial" w:hAnsi="Arial" w:eastAsia="Arial"/>
                <w:color w:val="15171A"/>
                <w:sz w:val="18"/>
              </w:rPr>
              <w:t>Presaves, service routing, retargeting, fan capture, campaign analytics.</w:t>
            </w:r>
          </w:p>
        </w:tc>
        <w:tc>
          <w:tcPr>
            <w:tcW w:type="dxa" w:w="3800"/>
            <w:vAlign w:val="center"/>
            <w:tcMar>
              <w:top w:w="100" w:type="dxa"/>
              <w:start w:w="120" w:type="dxa"/>
              <w:bottom w:w="100" w:type="dxa"/>
              <w:end w:w="120" w:type="dxa"/>
            </w:tcMar>
          </w:tcPr>
          <w:p>
            <w:pPr>
              <w:spacing w:after="0" w:line="259" w:lineRule="auto"/>
            </w:pPr>
            <w:r/>
            <w:r>
              <w:rPr>
                <w:rFonts w:ascii="Arial" w:hAnsi="Arial" w:eastAsia="Arial"/>
                <w:color w:val="15171A"/>
                <w:sz w:val="18"/>
              </w:rPr>
              <w:t>Do not rebuild campaign infrastructure.</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Creator suites</w:t>
            </w:r>
          </w:p>
        </w:tc>
        <w:tc>
          <w:tcPr>
            <w:tcW w:type="dxa" w:w="3760"/>
            <w:vAlign w:val="center"/>
            <w:tcMar>
              <w:top w:w="100" w:type="dxa"/>
              <w:start w:w="120" w:type="dxa"/>
              <w:bottom w:w="100" w:type="dxa"/>
              <w:end w:w="120" w:type="dxa"/>
            </w:tcMar>
          </w:tcPr>
          <w:p>
            <w:pPr>
              <w:spacing w:after="0" w:line="259" w:lineRule="auto"/>
            </w:pPr>
            <w:r/>
            <w:r>
              <w:rPr>
                <w:rFonts w:ascii="Arial" w:hAnsi="Arial" w:eastAsia="Arial"/>
                <w:color w:val="15171A"/>
                <w:sz w:val="18"/>
              </w:rPr>
              <w:t>Websites, stores, email, media kits, automation, memberships.</w:t>
            </w:r>
          </w:p>
        </w:tc>
        <w:tc>
          <w:tcPr>
            <w:tcW w:type="dxa" w:w="3800"/>
            <w:vAlign w:val="center"/>
            <w:tcMar>
              <w:top w:w="100" w:type="dxa"/>
              <w:start w:w="120" w:type="dxa"/>
              <w:bottom w:w="100" w:type="dxa"/>
              <w:end w:w="120" w:type="dxa"/>
            </w:tcMar>
          </w:tcPr>
          <w:p>
            <w:pPr>
              <w:spacing w:after="0" w:line="259" w:lineRule="auto"/>
            </w:pPr>
            <w:r/>
            <w:r>
              <w:rPr>
                <w:rFonts w:ascii="Arial" w:hAnsi="Arial" w:eastAsia="Arial"/>
                <w:color w:val="15171A"/>
                <w:sz w:val="18"/>
              </w:rPr>
              <w:t>Do not become an all-in-one creator platform.</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 business suites</w:t>
            </w:r>
          </w:p>
        </w:tc>
        <w:tc>
          <w:tcPr>
            <w:tcW w:type="dxa" w:w="3760"/>
            <w:vAlign w:val="center"/>
            <w:tcMar>
              <w:top w:w="100" w:type="dxa"/>
              <w:start w:w="120" w:type="dxa"/>
              <w:bottom w:w="100" w:type="dxa"/>
              <w:end w:w="120" w:type="dxa"/>
            </w:tcMar>
          </w:tcPr>
          <w:p>
            <w:pPr>
              <w:spacing w:after="0" w:line="259" w:lineRule="auto"/>
            </w:pPr>
            <w:r/>
            <w:r>
              <w:rPr>
                <w:rFonts w:ascii="Arial" w:hAnsi="Arial" w:eastAsia="Arial"/>
                <w:color w:val="15171A"/>
                <w:sz w:val="18"/>
              </w:rPr>
              <w:t>Distribution, royalties, merch, CRM, websites, memberships.</w:t>
            </w:r>
          </w:p>
        </w:tc>
        <w:tc>
          <w:tcPr>
            <w:tcW w:type="dxa" w:w="3800"/>
            <w:vAlign w:val="center"/>
            <w:tcMar>
              <w:top w:w="100" w:type="dxa"/>
              <w:start w:w="120" w:type="dxa"/>
              <w:bottom w:w="100" w:type="dxa"/>
              <w:end w:w="120" w:type="dxa"/>
            </w:tcMar>
          </w:tcPr>
          <w:p>
            <w:pPr>
              <w:spacing w:after="0" w:line="259" w:lineRule="auto"/>
            </w:pPr>
            <w:r/>
            <w:r>
              <w:rPr>
                <w:rFonts w:ascii="Arial" w:hAnsi="Arial" w:eastAsia="Arial"/>
                <w:color w:val="15171A"/>
                <w:sz w:val="18"/>
              </w:rPr>
              <w:t>Do not promise operational breadth.</w:t>
            </w:r>
          </w:p>
        </w:tc>
      </w:tr>
    </w:tbl>
    <w:p>
      <w:pPr>
        <w:spacing w:after="40"/>
      </w:pPr>
    </w:p>
    <w:p>
      <w:pPr>
        <w:pStyle w:val="Heading2"/>
      </w:pPr>
      <w:r>
        <w:rPr>
          <w:rFonts w:ascii="Arial" w:hAnsi="Arial" w:eastAsia="Arial"/>
          <w:b w:val="0"/>
          <w:i w:val="0"/>
          <w:color w:val="15171A"/>
        </w:rPr>
        <w:t>The unresolved job</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4F4F2" w:val="clear"/>
          </w:tcPr>
          <w:p>
            <w:pPr>
              <w:spacing w:before="40" w:after="40" w:line="276" w:lineRule="auto"/>
            </w:pPr>
            <w:r/>
            <w:r>
              <w:rPr>
                <w:rFonts w:ascii="Arial" w:hAnsi="Arial" w:eastAsia="Arial"/>
                <w:b/>
                <w:color w:val="262A30"/>
                <w:sz w:val="18"/>
              </w:rPr>
              <w:t xml:space="preserve">CUSTOMER JOB  </w:t>
            </w:r>
            <w:r>
              <w:rPr>
                <w:rFonts w:ascii="Arial" w:hAnsi="Arial" w:eastAsia="Arial"/>
                <w:b/>
                <w:color w:val="15171A"/>
                <w:sz w:val="23"/>
              </w:rPr>
              <w:t>Make my public artist presence feel complete and intentional without turning me into a website administrator.</w:t>
            </w:r>
          </w:p>
        </w:tc>
      </w:tr>
    </w:tbl>
    <w:p>
      <w:pPr>
        <w:spacing w:after="60"/>
      </w:pPr>
    </w:p>
    <w:p>
      <w:pPr>
        <w:pStyle w:val="ListBullet"/>
        <w:spacing w:after="80" w:line="290" w:lineRule="auto"/>
        <w:ind w:left="720" w:hanging="360"/>
      </w:pPr>
      <w:r>
        <w:rPr>
          <w:rFonts w:ascii="Arial" w:hAnsi="Arial" w:eastAsia="Arial"/>
          <w:color w:val="15171A"/>
          <w:sz w:val="22"/>
        </w:rPr>
        <w:t>Turn rough notes into polished artist and release copy.</w:t>
      </w:r>
    </w:p>
    <w:p>
      <w:pPr>
        <w:pStyle w:val="ListBullet"/>
        <w:spacing w:after="80" w:line="290" w:lineRule="auto"/>
        <w:ind w:left="720" w:hanging="360"/>
      </w:pPr>
      <w:r>
        <w:rPr>
          <w:rFonts w:ascii="Arial" w:hAnsi="Arial" w:eastAsia="Arial"/>
          <w:color w:val="15171A"/>
          <w:sz w:val="22"/>
        </w:rPr>
        <w:t>Choose what should be prominent instead of presenting a wall of equal links.</w:t>
      </w:r>
    </w:p>
    <w:p>
      <w:pPr>
        <w:pStyle w:val="ListBullet"/>
        <w:spacing w:after="80" w:line="290" w:lineRule="auto"/>
        <w:ind w:left="720" w:hanging="360"/>
      </w:pPr>
      <w:r>
        <w:rPr>
          <w:rFonts w:ascii="Arial" w:hAnsi="Arial" w:eastAsia="Arial"/>
          <w:color w:val="15171A"/>
          <w:sz w:val="22"/>
        </w:rPr>
        <w:t>Keep artwork, credits, platform links, and contact details accurate.</w:t>
      </w:r>
    </w:p>
    <w:p>
      <w:pPr>
        <w:pStyle w:val="ListBullet"/>
        <w:spacing w:after="80" w:line="290" w:lineRule="auto"/>
        <w:ind w:left="720" w:hanging="360"/>
      </w:pPr>
      <w:r>
        <w:rPr>
          <w:rFonts w:ascii="Arial" w:hAnsi="Arial" w:eastAsia="Arial"/>
          <w:color w:val="15171A"/>
          <w:sz w:val="22"/>
        </w:rPr>
        <w:t>Give one important song enough context to turn a click into understanding.</w:t>
      </w:r>
    </w:p>
    <w:p>
      <w:pPr>
        <w:pStyle w:val="ListBullet"/>
        <w:spacing w:after="80" w:line="290" w:lineRule="auto"/>
        <w:ind w:left="720" w:hanging="360"/>
      </w:pPr>
      <w:r>
        <w:rPr>
          <w:rFonts w:ascii="Arial" w:hAnsi="Arial" w:eastAsia="Arial"/>
          <w:color w:val="15171A"/>
          <w:sz w:val="22"/>
        </w:rPr>
        <w:t>Handle approvals, corrections, and takedowns responsibly.</w:t>
      </w:r>
    </w:p>
    <w:p>
      <w:pPr>
        <w:pStyle w:val="Heading2"/>
      </w:pPr>
      <w:r>
        <w:rPr>
          <w:rFonts w:ascii="Arial" w:hAnsi="Arial" w:eastAsia="Arial"/>
          <w:b w:val="0"/>
          <w:i w:val="0"/>
          <w:color w:val="15171A"/>
        </w:rPr>
        <w:t>Why one featured release matters</w:t>
      </w:r>
    </w:p>
    <w:p>
      <w:r>
        <w:rPr>
          <w:rFonts w:ascii="Arial" w:hAnsi="Arial" w:eastAsia="Arial"/>
          <w:b w:val="0"/>
          <w:i w:val="0"/>
          <w:color w:val="15171A"/>
        </w:rPr>
        <w:t>The artist submits three releases and chooses one for editorial depth. This creates a clear entry point for fans, keeps pilot labor bounded, and establishes the paid expansion path: additional editorial releases can be commissioned later without redesigning the entire profile.</w:t>
      </w:r>
    </w:p>
    <w:p>
      <w:r>
        <w:br w:type="page"/>
      </w:r>
    </w:p>
    <w:p>
      <w:pPr>
        <w:pStyle w:val="Heading1"/>
      </w:pPr>
      <w:r>
        <w:rPr>
          <w:rFonts w:ascii="Arial" w:hAnsi="Arial" w:eastAsia="Arial"/>
          <w:b w:val="0"/>
          <w:i w:val="0"/>
          <w:color w:val="15171A"/>
        </w:rPr>
        <w:t>3. The productized experience</w:t>
      </w:r>
    </w:p>
    <w:p>
      <w:pPr>
        <w:pStyle w:val="Heading2"/>
      </w:pPr>
      <w:r>
        <w:rPr>
          <w:rFonts w:ascii="Arial" w:hAnsi="Arial" w:eastAsia="Arial"/>
          <w:b w:val="0"/>
          <w:i w:val="0"/>
          <w:color w:val="15171A"/>
        </w:rPr>
        <w:t>For the artist</w:t>
      </w:r>
    </w:p>
    <w:p>
      <w:pPr>
        <w:pStyle w:val="ListNumber"/>
        <w:spacing w:after="80" w:line="290" w:lineRule="auto"/>
        <w:ind w:left="720" w:hanging="360"/>
      </w:pPr>
      <w:r>
        <w:rPr>
          <w:rFonts w:ascii="Arial" w:hAnsi="Arial" w:eastAsia="Arial"/>
          <w:color w:val="15171A"/>
          <w:sz w:val="22"/>
        </w:rPr>
        <w:t>Submit rough notes, approved imagery, platform links, contact details, and three releases.</w:t>
      </w:r>
    </w:p>
    <w:p>
      <w:pPr>
        <w:pStyle w:val="ListNumber"/>
        <w:spacing w:after="80" w:line="290" w:lineRule="auto"/>
        <w:ind w:left="720" w:hanging="360"/>
      </w:pPr>
      <w:r>
        <w:rPr>
          <w:rFonts w:ascii="Arial" w:hAnsi="Arial" w:eastAsia="Arial"/>
          <w:color w:val="15171A"/>
          <w:sz w:val="22"/>
        </w:rPr>
        <w:t>Choose the one release that deserves the deeper editorial treatment.</w:t>
      </w:r>
    </w:p>
    <w:p>
      <w:pPr>
        <w:pStyle w:val="ListNumber"/>
        <w:spacing w:after="80" w:line="290" w:lineRule="auto"/>
        <w:ind w:left="720" w:hanging="360"/>
      </w:pPr>
      <w:r>
        <w:rPr>
          <w:rFonts w:ascii="Arial" w:hAnsi="Arial" w:eastAsia="Arial"/>
          <w:color w:val="15171A"/>
          <w:sz w:val="22"/>
        </w:rPr>
        <w:t>Review a private, frozen preview of the exact profile and release content.</w:t>
      </w:r>
    </w:p>
    <w:p>
      <w:pPr>
        <w:pStyle w:val="ListNumber"/>
        <w:spacing w:after="80" w:line="290" w:lineRule="auto"/>
        <w:ind w:left="720" w:hanging="360"/>
      </w:pPr>
      <w:r>
        <w:rPr>
          <w:rFonts w:ascii="Arial" w:hAnsi="Arial" w:eastAsia="Arial"/>
          <w:color w:val="15171A"/>
          <w:sz w:val="22"/>
        </w:rPr>
        <w:t>Approve, request changes, or decline publication.</w:t>
      </w:r>
    </w:p>
    <w:p>
      <w:pPr>
        <w:pStyle w:val="ListNumber"/>
        <w:spacing w:after="80" w:line="290" w:lineRule="auto"/>
        <w:ind w:left="720" w:hanging="360"/>
      </w:pPr>
      <w:r>
        <w:rPr>
          <w:rFonts w:ascii="Arial" w:hAnsi="Arial" w:eastAsia="Arial"/>
          <w:color w:val="15171A"/>
          <w:sz w:val="22"/>
        </w:rPr>
        <w:t>Send future edits through a request instead of managing a dashboard.</w:t>
      </w:r>
    </w:p>
    <w:p>
      <w:pPr>
        <w:pStyle w:val="Heading2"/>
      </w:pPr>
      <w:r>
        <w:rPr>
          <w:rFonts w:ascii="Arial" w:hAnsi="Arial" w:eastAsia="Arial"/>
          <w:b w:val="0"/>
          <w:i w:val="0"/>
          <w:color w:val="15171A"/>
        </w:rPr>
        <w:t>For the fan</w:t>
      </w:r>
    </w:p>
    <w:p>
      <w:pPr>
        <w:pStyle w:val="ListNumber"/>
        <w:spacing w:after="80" w:line="290" w:lineRule="auto"/>
        <w:ind w:left="720" w:hanging="360"/>
      </w:pPr>
      <w:r>
        <w:rPr>
          <w:rFonts w:ascii="Arial" w:hAnsi="Arial" w:eastAsia="Arial"/>
          <w:color w:val="15171A"/>
          <w:sz w:val="22"/>
        </w:rPr>
        <w:t>Land on a visually coherent artist home rather than an undifferentiated button stack.</w:t>
      </w:r>
    </w:p>
    <w:p>
      <w:pPr>
        <w:pStyle w:val="ListNumber"/>
        <w:spacing w:after="80" w:line="290" w:lineRule="auto"/>
        <w:ind w:left="720" w:hanging="360"/>
      </w:pPr>
      <w:r>
        <w:rPr>
          <w:rFonts w:ascii="Arial" w:hAnsi="Arial" w:eastAsia="Arial"/>
          <w:color w:val="15171A"/>
          <w:sz w:val="22"/>
        </w:rPr>
        <w:t>Understand the artist through one complete editorial biography and a controlled set of destinations.</w:t>
      </w:r>
    </w:p>
    <w:p>
      <w:pPr>
        <w:pStyle w:val="ListNumber"/>
        <w:spacing w:after="80" w:line="290" w:lineRule="auto"/>
        <w:ind w:left="720" w:hanging="360"/>
      </w:pPr>
      <w:r>
        <w:rPr>
          <w:rFonts w:ascii="Arial" w:hAnsi="Arial" w:eastAsia="Arial"/>
          <w:color w:val="15171A"/>
          <w:sz w:val="22"/>
        </w:rPr>
        <w:t>Open the featured release for story, context, lyrics, annotations, credits, and listening choices.</w:t>
      </w:r>
    </w:p>
    <w:p>
      <w:pPr>
        <w:pStyle w:val="ListNumber"/>
        <w:spacing w:after="80" w:line="290" w:lineRule="auto"/>
        <w:ind w:left="720" w:hanging="360"/>
      </w:pPr>
      <w:r>
        <w:rPr>
          <w:rFonts w:ascii="Arial" w:hAnsi="Arial" w:eastAsia="Arial"/>
          <w:color w:val="15171A"/>
          <w:sz w:val="22"/>
        </w:rPr>
        <w:t>Explore additional releases or collaborators when relevant, without forcing a collaboration-first journey.</w:t>
      </w:r>
    </w:p>
    <w:p>
      <w:pPr>
        <w:pStyle w:val="Heading2"/>
      </w:pPr>
      <w:r>
        <w:rPr>
          <w:rFonts w:ascii="Arial" w:hAnsi="Arial" w:eastAsia="Arial"/>
          <w:b w:val="0"/>
          <w:i w:val="0"/>
          <w:color w:val="15171A"/>
        </w:rPr>
        <w:t>For the operator</w:t>
      </w:r>
    </w:p>
    <w:p>
      <w:pPr>
        <w:pStyle w:val="ListNumber"/>
        <w:spacing w:after="80" w:line="290" w:lineRule="auto"/>
        <w:ind w:left="720" w:hanging="360"/>
      </w:pPr>
      <w:r>
        <w:rPr>
          <w:rFonts w:ascii="Arial" w:hAnsi="Arial" w:eastAsia="Arial"/>
          <w:color w:val="15171A"/>
          <w:sz w:val="22"/>
        </w:rPr>
        <w:t>Build every profile and release through the existing Command Center CMS.</w:t>
      </w:r>
    </w:p>
    <w:p>
      <w:pPr>
        <w:pStyle w:val="ListNumber"/>
        <w:spacing w:after="80" w:line="290" w:lineRule="auto"/>
        <w:ind w:left="720" w:hanging="360"/>
      </w:pPr>
      <w:r>
        <w:rPr>
          <w:rFonts w:ascii="Arial" w:hAnsi="Arial" w:eastAsia="Arial"/>
          <w:color w:val="15171A"/>
          <w:sz w:val="22"/>
        </w:rPr>
        <w:t>Separate vvviruz-owned releases from artist-owned releases while reusing the same editorial tools.</w:t>
      </w:r>
    </w:p>
    <w:p>
      <w:pPr>
        <w:pStyle w:val="ListNumber"/>
        <w:spacing w:after="80" w:line="290" w:lineRule="auto"/>
        <w:ind w:left="720" w:hanging="360"/>
      </w:pPr>
      <w:r>
        <w:rPr>
          <w:rFonts w:ascii="Arial" w:hAnsi="Arial" w:eastAsia="Arial"/>
          <w:color w:val="15171A"/>
          <w:sz w:val="22"/>
        </w:rPr>
        <w:t>Track versions, approvals, rights, views, release opens, and outbound clicks.</w:t>
      </w:r>
    </w:p>
    <w:p>
      <w:pPr>
        <w:pStyle w:val="ListNumber"/>
        <w:spacing w:after="80" w:line="290" w:lineRule="auto"/>
        <w:ind w:left="720" w:hanging="360"/>
      </w:pPr>
      <w:r>
        <w:rPr>
          <w:rFonts w:ascii="Arial" w:hAnsi="Arial" w:eastAsia="Arial"/>
          <w:color w:val="15171A"/>
          <w:sz w:val="22"/>
        </w:rPr>
        <w:t>Offer ten controlled theme families through one dropdown while keeping sections fixed enough to avoid custom web design.</w:t>
      </w:r>
    </w:p>
    <w:p>
      <w:pPr>
        <w:pStyle w:val="Heading2"/>
      </w:pPr>
      <w:r>
        <w:rPr>
          <w:rFonts w:ascii="Arial" w:hAnsi="Arial" w:eastAsia="Arial"/>
          <w:b w:val="0"/>
          <w:i w:val="0"/>
          <w:color w:val="15171A"/>
        </w:rPr>
        <w:t>Pilot-ready core already implemented</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2100"/>
        <w:gridCol w:w="3000"/>
        <w:gridCol w:w="4260"/>
      </w:tblGrid>
      <w:tr>
        <w:trPr>
          <w:tblHeader w:val="true"/>
        </w:trPr>
        <w:tc>
          <w:tcPr>
            <w:tcW w:type="dxa" w:w="21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Capability</w:t>
            </w:r>
          </w:p>
        </w:tc>
        <w:tc>
          <w:tcPr>
            <w:tcW w:type="dxa" w:w="30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Current state</w:t>
            </w:r>
          </w:p>
        </w:tc>
        <w:tc>
          <w:tcPr>
            <w:tcW w:type="dxa" w:w="42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Why it matters</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Managed profiles</w:t>
            </w:r>
          </w:p>
        </w:tc>
        <w:tc>
          <w:tcPr>
            <w:tcW w:type="dxa" w:w="3000"/>
            <w:vAlign w:val="center"/>
            <w:tcMar>
              <w:top w:w="100" w:type="dxa"/>
              <w:start w:w="120" w:type="dxa"/>
              <w:bottom w:w="100" w:type="dxa"/>
              <w:end w:w="120" w:type="dxa"/>
            </w:tcMar>
          </w:tcPr>
          <w:p>
            <w:pPr>
              <w:spacing w:after="0" w:line="259" w:lineRule="auto"/>
            </w:pPr>
            <w:r/>
            <w:r>
              <w:rPr>
                <w:rFonts w:ascii="Arial" w:hAnsi="Arial" w:eastAsia="Arial"/>
                <w:color w:val="15171A"/>
                <w:sz w:val="18"/>
              </w:rPr>
              <w:t>Admin-only creation and editing</w:t>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The artist has no software burden.</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Controlled presentation</w:t>
            </w:r>
          </w:p>
        </w:tc>
        <w:tc>
          <w:tcPr>
            <w:tcW w:type="dxa" w:w="3000"/>
            <w:vAlign w:val="center"/>
            <w:tcMar>
              <w:top w:w="100" w:type="dxa"/>
              <w:start w:w="120" w:type="dxa"/>
              <w:bottom w:w="100" w:type="dxa"/>
              <w:end w:w="120" w:type="dxa"/>
            </w:tcMar>
          </w:tcPr>
          <w:p>
            <w:pPr>
              <w:spacing w:after="0" w:line="259" w:lineRule="auto"/>
            </w:pPr>
            <w:r>
              <w:t>Ten selectable themes; URL-or-upload images; location badge and optional flag</w:t>
            </w:r>
            <w:r>
              <w:rPr>
                <w:rFonts w:ascii="Arial" w:hAnsi="Arial" w:eastAsia="Arial"/>
                <w:color w:val="15171A"/>
                <w:sz w:val="18"/>
              </w:rPr>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Quality stays consistent; labor stays bounded.</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Editorial releases</w:t>
            </w:r>
          </w:p>
        </w:tc>
        <w:tc>
          <w:tcPr>
            <w:tcW w:type="dxa" w:w="30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Artist-scoped release pages using the full release CMS</w:t>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One system supports stories, lyrics, and annotations.</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Approval</w:t>
            </w:r>
          </w:p>
        </w:tc>
        <w:tc>
          <w:tcPr>
            <w:tcW w:type="dxa" w:w="3000"/>
            <w:vAlign w:val="center"/>
            <w:tcMar>
              <w:top w:w="100" w:type="dxa"/>
              <w:start w:w="120" w:type="dxa"/>
              <w:bottom w:w="100" w:type="dxa"/>
              <w:end w:w="120" w:type="dxa"/>
            </w:tcMar>
          </w:tcPr>
          <w:p>
            <w:pPr>
              <w:spacing w:after="0" w:line="259" w:lineRule="auto"/>
            </w:pPr>
            <w:r/>
            <w:r>
              <w:rPr>
                <w:rFonts w:ascii="Arial" w:hAnsi="Arial" w:eastAsia="Arial"/>
                <w:color w:val="15171A"/>
                <w:sz w:val="18"/>
              </w:rPr>
              <w:t>Private, versioned preview snapshots</w:t>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The reviewed content is the content that can publish.</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Rights safeguard</w:t>
            </w:r>
          </w:p>
        </w:tc>
        <w:tc>
          <w:tcPr>
            <w:tcW w:type="dxa" w:w="3000"/>
            <w:vAlign w:val="center"/>
            <w:tcMar>
              <w:top w:w="100" w:type="dxa"/>
              <w:start w:w="120" w:type="dxa"/>
              <w:bottom w:w="100" w:type="dxa"/>
              <w:end w:w="120" w:type="dxa"/>
            </w:tcMar>
          </w:tcPr>
          <w:p>
            <w:pPr>
              <w:spacing w:after="0" w:line="259" w:lineRule="auto"/>
            </w:pPr>
            <w:r/>
            <w:r>
              <w:rPr>
                <w:rFonts w:ascii="Arial" w:hAnsi="Arial" w:eastAsia="Arial"/>
                <w:color w:val="15171A"/>
                <w:sz w:val="18"/>
              </w:rPr>
              <w:t>Lyrics permission confirmation</w:t>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Editorial depth does not bypass permission.</w:t>
            </w:r>
          </w:p>
        </w:tc>
      </w:tr>
      <w:tr>
        <w:tc>
          <w:tcPr>
            <w:tcW w:type="dxa" w:w="2100"/>
            <w:vAlign w:val="center"/>
            <w:tcMar>
              <w:top w:w="100" w:type="dxa"/>
              <w:start w:w="120" w:type="dxa"/>
              <w:bottom w:w="100" w:type="dxa"/>
              <w:end w:w="120" w:type="dxa"/>
            </w:tcMar>
          </w:tcPr>
          <w:p>
            <w:pPr>
              <w:spacing w:after="0" w:line="259" w:lineRule="auto"/>
            </w:pPr>
            <w:r/>
            <w:r>
              <w:rPr>
                <w:rFonts w:ascii="Arial" w:hAnsi="Arial" w:eastAsia="Arial"/>
                <w:color w:val="15171A"/>
                <w:sz w:val="18"/>
              </w:rPr>
              <w:t>Analytics</w:t>
            </w:r>
          </w:p>
        </w:tc>
        <w:tc>
          <w:tcPr>
            <w:tcW w:type="dxa" w:w="3000"/>
            <w:vAlign w:val="center"/>
            <w:tcMar>
              <w:top w:w="100" w:type="dxa"/>
              <w:start w:w="120" w:type="dxa"/>
              <w:bottom w:w="100" w:type="dxa"/>
              <w:end w:w="120" w:type="dxa"/>
            </w:tcMar>
          </w:tcPr>
          <w:p>
            <w:pPr>
              <w:spacing w:after="0" w:line="259" w:lineRule="auto"/>
            </w:pPr>
            <w:r/>
            <w:r>
              <w:rPr>
                <w:rFonts w:ascii="Arial" w:hAnsi="Arial" w:eastAsia="Arial"/>
                <w:color w:val="15171A"/>
                <w:sz w:val="18"/>
              </w:rPr>
              <w:t>Profile, release, and outbound click events</w:t>
            </w:r>
          </w:p>
        </w:tc>
        <w:tc>
          <w:tcPr>
            <w:tcW w:type="dxa" w:w="4260"/>
            <w:vAlign w:val="center"/>
            <w:tcMar>
              <w:top w:w="100" w:type="dxa"/>
              <w:start w:w="120" w:type="dxa"/>
              <w:bottom w:w="100" w:type="dxa"/>
              <w:end w:w="120" w:type="dxa"/>
            </w:tcMar>
          </w:tcPr>
          <w:p>
            <w:pPr>
              <w:spacing w:after="0" w:line="259" w:lineRule="auto"/>
            </w:pPr>
            <w:r/>
            <w:r>
              <w:rPr>
                <w:rFonts w:ascii="Arial" w:hAnsi="Arial" w:eastAsia="Arial"/>
                <w:color w:val="15171A"/>
                <w:sz w:val="18"/>
              </w:rPr>
              <w:t>The pilot measures behavior, not compliments.</w:t>
            </w:r>
          </w:p>
        </w:tc>
      </w:tr>
    </w:tbl>
    <w:p>
      <w:pPr>
        <w:spacing w:after="40"/>
      </w:pPr>
    </w:p>
    <w:p>
      <w:r>
        <w:br w:type="page"/>
      </w:r>
    </w:p>
    <w:p>
      <w:pPr>
        <w:pStyle w:val="Heading1"/>
      </w:pPr>
      <w:r>
        <w:rPr>
          <w:rFonts w:ascii="Arial" w:hAnsi="Arial" w:eastAsia="Arial"/>
          <w:b w:val="0"/>
          <w:i w:val="0"/>
          <w:color w:val="15171A"/>
        </w:rPr>
        <w:t>4. The latest defensible offer</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7F1DF" w:val="clear"/>
          </w:tcPr>
          <w:p>
            <w:pPr>
              <w:spacing w:before="40" w:after="40" w:line="276" w:lineRule="auto"/>
            </w:pPr>
            <w:r/>
            <w:r>
              <w:rPr>
                <w:rFonts w:ascii="Arial" w:hAnsi="Arial" w:eastAsia="Arial"/>
                <w:b/>
                <w:color w:val="765B1D"/>
                <w:sz w:val="18"/>
              </w:rPr>
              <w:t xml:space="preserve">OFFER  </w:t>
            </w:r>
            <w:r>
              <w:rPr>
                <w:rFonts w:ascii="Arial" w:hAnsi="Arial" w:eastAsia="Arial"/>
                <w:b/>
                <w:color w:val="15171A"/>
                <w:sz w:val="23"/>
              </w:rPr>
              <w:t>Managed Artist Home + Featured Release Editorial: one maintained presence, one release worth understanding, zero dashboards for the artist.</w:t>
            </w:r>
          </w:p>
        </w:tc>
      </w:tr>
    </w:tbl>
    <w:p>
      <w:pPr>
        <w:spacing w:after="60"/>
      </w:pPr>
    </w:p>
    <w:p>
      <w:pPr>
        <w:pStyle w:val="Heading2"/>
      </w:pPr>
      <w:r>
        <w:rPr>
          <w:rFonts w:ascii="Arial" w:hAnsi="Arial" w:eastAsia="Arial"/>
          <w:b w:val="0"/>
          <w:i w:val="0"/>
          <w:color w:val="15171A"/>
        </w:rPr>
        <w:t>What is defensible now</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700"/>
        <w:gridCol w:w="4520"/>
        <w:gridCol w:w="3140"/>
      </w:tblGrid>
      <w:tr>
        <w:trPr>
          <w:tblHeader w:val="true"/>
        </w:trPr>
        <w:tc>
          <w:tcPr>
            <w:tcW w:type="dxa" w:w="17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Layer</w:t>
            </w:r>
          </w:p>
        </w:tc>
        <w:tc>
          <w:tcPr>
            <w:tcW w:type="dxa" w:w="452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Why it is harder than copying the interface</w:t>
            </w:r>
          </w:p>
        </w:tc>
        <w:tc>
          <w:tcPr>
            <w:tcW w:type="dxa" w:w="314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Evidence the pilot must create</w:t>
            </w:r>
          </w:p>
        </w:tc>
      </w:tr>
      <w:tr>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Service workflow</w:t>
            </w:r>
          </w:p>
        </w:tc>
        <w:tc>
          <w:tcPr>
            <w:tcW w:type="dxa" w:w="4520"/>
            <w:vAlign w:val="center"/>
            <w:tcMar>
              <w:top w:w="100" w:type="dxa"/>
              <w:start w:w="120" w:type="dxa"/>
              <w:bottom w:w="100" w:type="dxa"/>
              <w:end w:w="120" w:type="dxa"/>
            </w:tcMar>
          </w:tcPr>
          <w:p>
            <w:pPr>
              <w:spacing w:after="0" w:line="259" w:lineRule="auto"/>
            </w:pPr>
            <w:r/>
            <w:r>
              <w:rPr>
                <w:rFonts w:ascii="Arial" w:hAnsi="Arial" w:eastAsia="Arial"/>
                <w:color w:val="15171A"/>
                <w:sz w:val="17"/>
              </w:rPr>
              <w:t>Intake cleanup, judgment, editorial shaping, approvals, maintenance.</w:t>
            </w:r>
          </w:p>
        </w:tc>
        <w:tc>
          <w:tcPr>
            <w:tcW w:type="dxa" w:w="3140"/>
            <w:vAlign w:val="center"/>
            <w:tcMar>
              <w:top w:w="100" w:type="dxa"/>
              <w:start w:w="120" w:type="dxa"/>
              <w:bottom w:w="100" w:type="dxa"/>
              <w:end w:w="120" w:type="dxa"/>
            </w:tcMar>
          </w:tcPr>
          <w:p>
            <w:pPr>
              <w:spacing w:after="0" w:line="259" w:lineRule="auto"/>
            </w:pPr>
            <w:r/>
            <w:r>
              <w:rPr>
                <w:rFonts w:ascii="Arial" w:hAnsi="Arial" w:eastAsia="Arial"/>
                <w:color w:val="15171A"/>
                <w:sz w:val="17"/>
              </w:rPr>
              <w:t>Repeatable turnaround and bounded labor.</w:t>
            </w:r>
          </w:p>
        </w:tc>
      </w:tr>
      <w:tr>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Editorial quality</w:t>
            </w:r>
          </w:p>
        </w:tc>
        <w:tc>
          <w:tcPr>
            <w:tcW w:type="dxa" w:w="4520"/>
            <w:vAlign w:val="center"/>
            <w:tcMar>
              <w:top w:w="100" w:type="dxa"/>
              <w:start w:w="120" w:type="dxa"/>
              <w:bottom w:w="100" w:type="dxa"/>
              <w:end w:w="120" w:type="dxa"/>
            </w:tcMar>
          </w:tcPr>
          <w:p>
            <w:pPr>
              <w:spacing w:after="0" w:line="259" w:lineRule="auto"/>
            </w:pPr>
            <w:r/>
            <w:r>
              <w:rPr>
                <w:rFonts w:ascii="Arial" w:hAnsi="Arial" w:eastAsia="Arial"/>
                <w:color w:val="15171A"/>
                <w:sz w:val="17"/>
              </w:rPr>
              <w:t>Artist-specific story, context, lyrics, and annotations require taste and collaboration.</w:t>
            </w:r>
          </w:p>
        </w:tc>
        <w:tc>
          <w:tcPr>
            <w:tcW w:type="dxa" w:w="3140"/>
            <w:vAlign w:val="center"/>
            <w:tcMar>
              <w:top w:w="100" w:type="dxa"/>
              <w:start w:w="120" w:type="dxa"/>
              <w:bottom w:w="100" w:type="dxa"/>
              <w:end w:w="120" w:type="dxa"/>
            </w:tcMar>
          </w:tcPr>
          <w:p>
            <w:pPr>
              <w:spacing w:after="0" w:line="259" w:lineRule="auto"/>
            </w:pPr>
            <w:r/>
            <w:r>
              <w:rPr>
                <w:rFonts w:ascii="Arial" w:hAnsi="Arial" w:eastAsia="Arial"/>
                <w:color w:val="15171A"/>
                <w:sz w:val="17"/>
              </w:rPr>
              <w:t>Artists approve and share the finished work.</w:t>
            </w:r>
          </w:p>
        </w:tc>
      </w:tr>
      <w:tr>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Structured catalog</w:t>
            </w:r>
          </w:p>
        </w:tc>
        <w:tc>
          <w:tcPr>
            <w:tcW w:type="dxa" w:w="4520"/>
            <w:vAlign w:val="center"/>
            <w:tcMar>
              <w:top w:w="100" w:type="dxa"/>
              <w:start w:w="120" w:type="dxa"/>
              <w:bottom w:w="100" w:type="dxa"/>
              <w:end w:w="120" w:type="dxa"/>
            </w:tcMar>
          </w:tcPr>
          <w:p>
            <w:pPr>
              <w:spacing w:after="0" w:line="259" w:lineRule="auto"/>
            </w:pPr>
            <w:r/>
            <w:r>
              <w:rPr>
                <w:rFonts w:ascii="Arial" w:hAnsi="Arial" w:eastAsia="Arial"/>
                <w:color w:val="15171A"/>
                <w:sz w:val="17"/>
              </w:rPr>
              <w:t>Profiles, releases, credits, and canonical routes compound into reusable relationships.</w:t>
            </w:r>
          </w:p>
        </w:tc>
        <w:tc>
          <w:tcPr>
            <w:tcW w:type="dxa" w:w="3140"/>
            <w:vAlign w:val="center"/>
            <w:tcMar>
              <w:top w:w="100" w:type="dxa"/>
              <w:start w:w="120" w:type="dxa"/>
              <w:bottom w:w="100" w:type="dxa"/>
              <w:end w:w="120" w:type="dxa"/>
            </w:tcMar>
          </w:tcPr>
          <w:p>
            <w:pPr>
              <w:spacing w:after="0" w:line="259" w:lineRule="auto"/>
            </w:pPr>
            <w:r/>
            <w:r>
              <w:rPr>
                <w:rFonts w:ascii="Arial" w:hAnsi="Arial" w:eastAsia="Arial"/>
                <w:color w:val="15171A"/>
                <w:sz w:val="17"/>
              </w:rPr>
              <w:t>Fans move between profile and release pages.</w:t>
            </w:r>
          </w:p>
        </w:tc>
      </w:tr>
      <w:tr>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Trust and rights</w:t>
            </w:r>
          </w:p>
        </w:tc>
        <w:tc>
          <w:tcPr>
            <w:tcW w:type="dxa" w:w="4520"/>
            <w:vAlign w:val="center"/>
            <w:tcMar>
              <w:top w:w="100" w:type="dxa"/>
              <w:start w:w="120" w:type="dxa"/>
              <w:bottom w:w="100" w:type="dxa"/>
              <w:end w:w="120" w:type="dxa"/>
            </w:tcMar>
          </w:tcPr>
          <w:p>
            <w:pPr>
              <w:spacing w:after="0" w:line="259" w:lineRule="auto"/>
            </w:pPr>
            <w:r/>
            <w:r>
              <w:rPr>
                <w:rFonts w:ascii="Arial" w:hAnsi="Arial" w:eastAsia="Arial"/>
                <w:color w:val="15171A"/>
                <w:sz w:val="17"/>
              </w:rPr>
              <w:t>Versioned approvals and permission records reduce creator risk.</w:t>
            </w:r>
          </w:p>
        </w:tc>
        <w:tc>
          <w:tcPr>
            <w:tcW w:type="dxa" w:w="3140"/>
            <w:vAlign w:val="center"/>
            <w:tcMar>
              <w:top w:w="100" w:type="dxa"/>
              <w:start w:w="120" w:type="dxa"/>
              <w:bottom w:w="100" w:type="dxa"/>
              <w:end w:w="120" w:type="dxa"/>
            </w:tcMar>
          </w:tcPr>
          <w:p>
            <w:pPr>
              <w:spacing w:after="0" w:line="259" w:lineRule="auto"/>
            </w:pPr>
            <w:r/>
            <w:r>
              <w:rPr>
                <w:rFonts w:ascii="Arial" w:hAnsi="Arial" w:eastAsia="Arial"/>
                <w:color w:val="15171A"/>
                <w:sz w:val="17"/>
              </w:rPr>
              <w:t>Low revision friction and no rights disputes.</w:t>
            </w:r>
          </w:p>
        </w:tc>
      </w:tr>
      <w:tr>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Learning system</w:t>
            </w:r>
          </w:p>
        </w:tc>
        <w:tc>
          <w:tcPr>
            <w:tcW w:type="dxa" w:w="4520"/>
            <w:vAlign w:val="center"/>
            <w:tcMar>
              <w:top w:w="100" w:type="dxa"/>
              <w:start w:w="120" w:type="dxa"/>
              <w:bottom w:w="100" w:type="dxa"/>
              <w:end w:w="120" w:type="dxa"/>
            </w:tcMar>
          </w:tcPr>
          <w:p>
            <w:pPr>
              <w:spacing w:after="0" w:line="259" w:lineRule="auto"/>
            </w:pPr>
            <w:r/>
            <w:r>
              <w:rPr>
                <w:rFonts w:ascii="Arial" w:hAnsi="Arial" w:eastAsia="Arial"/>
                <w:color w:val="15171A"/>
                <w:sz w:val="17"/>
              </w:rPr>
              <w:t>Time, update, and engagement data improve packaging and pricing.</w:t>
            </w:r>
          </w:p>
        </w:tc>
        <w:tc>
          <w:tcPr>
            <w:tcW w:type="dxa" w:w="3140"/>
            <w:vAlign w:val="center"/>
            <w:tcMar>
              <w:top w:w="100" w:type="dxa"/>
              <w:start w:w="120" w:type="dxa"/>
              <w:bottom w:w="100" w:type="dxa"/>
              <w:end w:w="120" w:type="dxa"/>
            </w:tcMar>
          </w:tcPr>
          <w:p>
            <w:pPr>
              <w:spacing w:after="0" w:line="259" w:lineRule="auto"/>
            </w:pPr>
            <w:r/>
            <w:r>
              <w:rPr>
                <w:rFonts w:ascii="Arial" w:hAnsi="Arial" w:eastAsia="Arial"/>
                <w:color w:val="15171A"/>
                <w:sz w:val="17"/>
              </w:rPr>
              <w:t>Clear cost-to-serve and conversion benchmarks.</w:t>
            </w:r>
          </w:p>
        </w:tc>
      </w:tr>
    </w:tbl>
    <w:p>
      <w:pPr>
        <w:spacing w:after="40"/>
      </w:pPr>
    </w:p>
    <w:p>
      <w:pPr>
        <w:pStyle w:val="Heading2"/>
      </w:pPr>
      <w:r>
        <w:rPr>
          <w:rFonts w:ascii="Arial" w:hAnsi="Arial" w:eastAsia="Arial"/>
          <w:b w:val="0"/>
          <w:i w:val="0"/>
          <w:color w:val="15171A"/>
        </w:rPr>
        <w:t>What is not defensible yet</w:t>
      </w:r>
    </w:p>
    <w:p>
      <w:r>
        <w:rPr>
          <w:rFonts w:ascii="Arial" w:hAnsi="Arial" w:eastAsia="Arial"/>
          <w:b w:val="0"/>
          <w:i w:val="0"/>
          <w:color w:val="15171A"/>
        </w:rPr>
        <w:t>The page design, CMS fields, and smart-link behavior can be copied. The service becomes meaningfully defensible only if vvviruz develops a recognizable editorial standard, a trusted artist network, proof that profiles are actually used, and a workflow that produces quality faster than a generalist agency.</w:t>
      </w:r>
    </w:p>
    <w:p>
      <w:pPr>
        <w:pStyle w:val="Heading2"/>
      </w:pPr>
      <w:r>
        <w:rPr>
          <w:rFonts w:ascii="Arial" w:hAnsi="Arial" w:eastAsia="Arial"/>
          <w:b w:val="0"/>
          <w:i w:val="0"/>
          <w:color w:val="15171A"/>
        </w:rPr>
        <w:t>Competitive boundary</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600"/>
        <w:gridCol w:w="2900"/>
        <w:gridCol w:w="1700"/>
        <w:gridCol w:w="3160"/>
      </w:tblGrid>
      <w:tr>
        <w:trPr>
          <w:tblHeader w:val="true"/>
        </w:trPr>
        <w:tc>
          <w:tcPr>
            <w:tcW w:type="dxa" w:w="16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Alternative</w:t>
            </w:r>
          </w:p>
        </w:tc>
        <w:tc>
          <w:tcPr>
            <w:tcW w:type="dxa" w:w="29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Primary promise</w:t>
            </w:r>
          </w:p>
        </w:tc>
        <w:tc>
          <w:tcPr>
            <w:tcW w:type="dxa" w:w="17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Artist workload</w:t>
            </w:r>
          </w:p>
        </w:tc>
        <w:tc>
          <w:tcPr>
            <w:tcW w:type="dxa" w:w="31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Artist Home response</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7"/>
              </w:rPr>
              <w:t>Linktree</w:t>
            </w:r>
          </w:p>
        </w:tc>
        <w:tc>
          <w:tcPr>
            <w:tcW w:type="dxa" w:w="2900"/>
            <w:vAlign w:val="center"/>
            <w:tcMar>
              <w:top w:w="100" w:type="dxa"/>
              <w:start w:w="120" w:type="dxa"/>
              <w:bottom w:w="100" w:type="dxa"/>
              <w:end w:w="120" w:type="dxa"/>
            </w:tcMar>
          </w:tcPr>
          <w:p>
            <w:pPr>
              <w:spacing w:after="0" w:line="259" w:lineRule="auto"/>
            </w:pPr>
            <w:r/>
            <w:r>
              <w:rPr>
                <w:rFonts w:ascii="Arial" w:hAnsi="Arial" w:eastAsia="Arial"/>
                <w:color w:val="15171A"/>
                <w:sz w:val="17"/>
              </w:rPr>
              <w:t>One link for everything</w:t>
            </w:r>
          </w:p>
        </w:tc>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Self-managed</w:t>
            </w:r>
          </w:p>
        </w:tc>
        <w:tc>
          <w:tcPr>
            <w:tcW w:type="dxa" w:w="3160"/>
            <w:vAlign w:val="center"/>
            <w:tcMar>
              <w:top w:w="100" w:type="dxa"/>
              <w:start w:w="120" w:type="dxa"/>
              <w:bottom w:w="100" w:type="dxa"/>
              <w:end w:w="120" w:type="dxa"/>
            </w:tcMar>
          </w:tcPr>
          <w:p>
            <w:pPr>
              <w:spacing w:after="0" w:line="259" w:lineRule="auto"/>
            </w:pPr>
            <w:r/>
            <w:r>
              <w:rPr>
                <w:rFonts w:ascii="Arial" w:hAnsi="Arial" w:eastAsia="Arial"/>
                <w:color w:val="15171A"/>
                <w:sz w:val="17"/>
              </w:rPr>
              <w:t>Add judgment, maintenance, and depth.</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7"/>
              </w:rPr>
              <w:t>Beacons</w:t>
            </w:r>
          </w:p>
        </w:tc>
        <w:tc>
          <w:tcPr>
            <w:tcW w:type="dxa" w:w="2900"/>
            <w:vAlign w:val="center"/>
            <w:tcMar>
              <w:top w:w="100" w:type="dxa"/>
              <w:start w:w="120" w:type="dxa"/>
              <w:bottom w:w="100" w:type="dxa"/>
              <w:end w:w="120" w:type="dxa"/>
            </w:tcMar>
          </w:tcPr>
          <w:p>
            <w:pPr>
              <w:spacing w:after="0" w:line="259" w:lineRule="auto"/>
            </w:pPr>
            <w:r/>
            <w:r>
              <w:rPr>
                <w:rFonts w:ascii="Arial" w:hAnsi="Arial" w:eastAsia="Arial"/>
                <w:color w:val="15171A"/>
                <w:sz w:val="17"/>
              </w:rPr>
              <w:t>All-in-one creator business stack</w:t>
            </w:r>
          </w:p>
        </w:tc>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Self-managed</w:t>
            </w:r>
          </w:p>
        </w:tc>
        <w:tc>
          <w:tcPr>
            <w:tcW w:type="dxa" w:w="3160"/>
            <w:vAlign w:val="center"/>
            <w:tcMar>
              <w:top w:w="100" w:type="dxa"/>
              <w:start w:w="120" w:type="dxa"/>
              <w:bottom w:w="100" w:type="dxa"/>
              <w:end w:w="120" w:type="dxa"/>
            </w:tcMar>
          </w:tcPr>
          <w:p>
            <w:pPr>
              <w:spacing w:after="0" w:line="259" w:lineRule="auto"/>
            </w:pPr>
            <w:r/>
            <w:r>
              <w:rPr>
                <w:rFonts w:ascii="Arial" w:hAnsi="Arial" w:eastAsia="Arial"/>
                <w:color w:val="15171A"/>
                <w:sz w:val="17"/>
              </w:rPr>
              <w:t>Stay artist-specific and service-led.</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7"/>
              </w:rPr>
              <w:t>Feature.fm / Linkfire</w:t>
            </w:r>
          </w:p>
        </w:tc>
        <w:tc>
          <w:tcPr>
            <w:tcW w:type="dxa" w:w="2900"/>
            <w:vAlign w:val="center"/>
            <w:tcMar>
              <w:top w:w="100" w:type="dxa"/>
              <w:start w:w="120" w:type="dxa"/>
              <w:bottom w:w="100" w:type="dxa"/>
              <w:end w:w="120" w:type="dxa"/>
            </w:tcMar>
          </w:tcPr>
          <w:p>
            <w:pPr>
              <w:spacing w:after="0" w:line="259" w:lineRule="auto"/>
            </w:pPr>
            <w:r/>
            <w:r>
              <w:rPr>
                <w:rFonts w:ascii="Arial" w:hAnsi="Arial" w:eastAsia="Arial"/>
                <w:color w:val="15171A"/>
                <w:sz w:val="17"/>
              </w:rPr>
              <w:t>Music marketing links and campaign tools</w:t>
            </w:r>
          </w:p>
        </w:tc>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Artist or marketer-managed</w:t>
            </w:r>
          </w:p>
        </w:tc>
        <w:tc>
          <w:tcPr>
            <w:tcW w:type="dxa" w:w="3160"/>
            <w:vAlign w:val="center"/>
            <w:tcMar>
              <w:top w:w="100" w:type="dxa"/>
              <w:start w:w="120" w:type="dxa"/>
              <w:bottom w:w="100" w:type="dxa"/>
              <w:end w:w="120" w:type="dxa"/>
            </w:tcMar>
          </w:tcPr>
          <w:p>
            <w:pPr>
              <w:spacing w:after="0" w:line="259" w:lineRule="auto"/>
            </w:pPr>
            <w:r/>
            <w:r>
              <w:rPr>
                <w:rFonts w:ascii="Arial" w:hAnsi="Arial" w:eastAsia="Arial"/>
                <w:color w:val="15171A"/>
                <w:sz w:val="17"/>
              </w:rPr>
              <w:t>Do not compete with presaves or ad tooling.</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7"/>
              </w:rPr>
              <w:t>Winamp for Artists</w:t>
            </w:r>
          </w:p>
        </w:tc>
        <w:tc>
          <w:tcPr>
            <w:tcW w:type="dxa" w:w="2900"/>
            <w:vAlign w:val="center"/>
            <w:tcMar>
              <w:top w:w="100" w:type="dxa"/>
              <w:start w:w="120" w:type="dxa"/>
              <w:bottom w:w="100" w:type="dxa"/>
              <w:end w:w="120" w:type="dxa"/>
            </w:tcMar>
          </w:tcPr>
          <w:p>
            <w:pPr>
              <w:spacing w:after="0" w:line="259" w:lineRule="auto"/>
            </w:pPr>
            <w:r/>
            <w:r>
              <w:rPr>
                <w:rFonts w:ascii="Arial" w:hAnsi="Arial" w:eastAsia="Arial"/>
                <w:color w:val="15171A"/>
                <w:sz w:val="17"/>
              </w:rPr>
              <w:t>All-in-one artist business platform</w:t>
            </w:r>
          </w:p>
        </w:tc>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Self-managed</w:t>
            </w:r>
          </w:p>
        </w:tc>
        <w:tc>
          <w:tcPr>
            <w:tcW w:type="dxa" w:w="3160"/>
            <w:vAlign w:val="center"/>
            <w:tcMar>
              <w:top w:w="100" w:type="dxa"/>
              <w:start w:w="120" w:type="dxa"/>
              <w:bottom w:w="100" w:type="dxa"/>
              <w:end w:w="120" w:type="dxa"/>
            </w:tcMar>
          </w:tcPr>
          <w:p>
            <w:pPr>
              <w:spacing w:after="0" w:line="259" w:lineRule="auto"/>
            </w:pPr>
            <w:r/>
            <w:r>
              <w:rPr>
                <w:rFonts w:ascii="Arial" w:hAnsi="Arial" w:eastAsia="Arial"/>
                <w:color w:val="15171A"/>
                <w:sz w:val="17"/>
              </w:rPr>
              <w:t>Remove the need to operate the platform.</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7"/>
              </w:rPr>
              <w:t>Freelance web design</w:t>
            </w:r>
          </w:p>
        </w:tc>
        <w:tc>
          <w:tcPr>
            <w:tcW w:type="dxa" w:w="2900"/>
            <w:vAlign w:val="center"/>
            <w:tcMar>
              <w:top w:w="100" w:type="dxa"/>
              <w:start w:w="120" w:type="dxa"/>
              <w:bottom w:w="100" w:type="dxa"/>
              <w:end w:w="120" w:type="dxa"/>
            </w:tcMar>
          </w:tcPr>
          <w:p>
            <w:pPr>
              <w:spacing w:after="0" w:line="259" w:lineRule="auto"/>
            </w:pPr>
            <w:r/>
            <w:r>
              <w:rPr>
                <w:rFonts w:ascii="Arial" w:hAnsi="Arial" w:eastAsia="Arial"/>
                <w:color w:val="15171A"/>
                <w:sz w:val="17"/>
              </w:rPr>
              <w:t>Custom artist website</w:t>
            </w:r>
          </w:p>
        </w:tc>
        <w:tc>
          <w:tcPr>
            <w:tcW w:type="dxa" w:w="1700"/>
            <w:vAlign w:val="center"/>
            <w:tcMar>
              <w:top w:w="100" w:type="dxa"/>
              <w:start w:w="120" w:type="dxa"/>
              <w:bottom w:w="100" w:type="dxa"/>
              <w:end w:w="120" w:type="dxa"/>
            </w:tcMar>
          </w:tcPr>
          <w:p>
            <w:pPr>
              <w:spacing w:after="0" w:line="259" w:lineRule="auto"/>
            </w:pPr>
            <w:r/>
            <w:r>
              <w:rPr>
                <w:rFonts w:ascii="Arial" w:hAnsi="Arial" w:eastAsia="Arial"/>
                <w:color w:val="15171A"/>
                <w:sz w:val="17"/>
              </w:rPr>
              <w:t>Project-heavy; often unmaintained</w:t>
            </w:r>
          </w:p>
        </w:tc>
        <w:tc>
          <w:tcPr>
            <w:tcW w:type="dxa" w:w="3160"/>
            <w:vAlign w:val="center"/>
            <w:tcMar>
              <w:top w:w="100" w:type="dxa"/>
              <w:start w:w="120" w:type="dxa"/>
              <w:bottom w:w="100" w:type="dxa"/>
              <w:end w:w="120" w:type="dxa"/>
            </w:tcMar>
          </w:tcPr>
          <w:p>
            <w:pPr>
              <w:spacing w:after="0" w:line="259" w:lineRule="auto"/>
            </w:pPr>
            <w:r/>
            <w:r>
              <w:rPr>
                <w:rFonts w:ascii="Arial" w:hAnsi="Arial" w:eastAsia="Arial"/>
                <w:color w:val="15171A"/>
                <w:sz w:val="17"/>
              </w:rPr>
              <w:t>Offer controlled quality and ongoing care.</w:t>
            </w:r>
          </w:p>
        </w:tc>
      </w:tr>
    </w:tbl>
    <w:p>
      <w:pPr>
        <w:spacing w:after="40"/>
      </w:pPr>
    </w:p>
    <w:p>
      <w:r>
        <w:br w:type="page"/>
      </w:r>
    </w:p>
    <w:p>
      <w:pPr>
        <w:pStyle w:val="Heading1"/>
      </w:pPr>
      <w:r>
        <w:rPr>
          <w:rFonts w:ascii="Arial" w:hAnsi="Arial" w:eastAsia="Arial"/>
          <w:b w:val="0"/>
          <w:i w:val="0"/>
          <w:color w:val="15171A"/>
        </w:rPr>
        <w:t>5. Recommended service structure</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7F1DF" w:val="clear"/>
          </w:tcPr>
          <w:p>
            <w:pPr>
              <w:spacing w:before="40" w:after="40" w:line="276" w:lineRule="auto"/>
            </w:pPr>
            <w:r/>
            <w:r>
              <w:rPr>
                <w:rFonts w:ascii="Arial" w:hAnsi="Arial" w:eastAsia="Arial"/>
                <w:b/>
                <w:color w:val="765B1D"/>
                <w:sz w:val="18"/>
              </w:rPr>
              <w:t xml:space="preserve">COMMERCIAL PRINCIPLE  </w:t>
            </w:r>
            <w:r>
              <w:rPr>
                <w:rFonts w:ascii="Arial" w:hAnsi="Arial" w:eastAsia="Arial"/>
                <w:b/>
                <w:color w:val="15171A"/>
                <w:sz w:val="23"/>
              </w:rPr>
              <w:t>Do not anchor the business on a cheap monthly website subscription. Charge for setup and editorial production; use annual care to cover hosting and routine maintenance.</w:t>
            </w:r>
          </w:p>
        </w:tc>
      </w:tr>
    </w:tbl>
    <w:p>
      <w:pPr>
        <w:spacing w:after="60"/>
      </w:pPr>
    </w:p>
    <w:p>
      <w:pPr>
        <w:pStyle w:val="Heading2"/>
      </w:pPr>
      <w:r>
        <w:rPr>
          <w:rFonts w:ascii="Arial" w:hAnsi="Arial" w:eastAsia="Arial"/>
          <w:b w:val="0"/>
          <w:i w:val="0"/>
          <w:color w:val="15171A"/>
        </w:rPr>
        <w:t>Stage A - Five-artist validation pilot</w:t>
      </w:r>
    </w:p>
    <w:p>
      <w:pPr>
        <w:pStyle w:val="ListBullet"/>
        <w:spacing w:after="80" w:line="290" w:lineRule="auto"/>
        <w:ind w:left="720" w:hanging="360"/>
      </w:pPr>
      <w:r>
        <w:rPr>
          <w:rFonts w:ascii="Arial" w:hAnsi="Arial" w:eastAsia="Arial"/>
          <w:color w:val="15171A"/>
          <w:sz w:val="22"/>
        </w:rPr>
        <w:t>Price: free in exchange for structured feedback, time-on-task permission, and case-study permission.</w:t>
      </w:r>
    </w:p>
    <w:p>
      <w:pPr>
        <w:pStyle w:val="ListBullet"/>
        <w:spacing w:after="80" w:line="290" w:lineRule="auto"/>
        <w:ind w:left="720" w:hanging="360"/>
      </w:pPr>
      <w:r>
        <w:rPr>
          <w:rFonts w:ascii="Arial" w:hAnsi="Arial" w:eastAsia="Arial"/>
          <w:color w:val="15171A"/>
          <w:sz w:val="22"/>
        </w:rPr>
        <w:t>Includes: full editorial profile, one of ten theme families, URL-or-upload imagery, location badge with optional flag, one Start Here featured release, two More from the artist cards, platform/social links, contact destination, one revision round, private approval, publication, and 60 days of analytics.</w:t>
      </w:r>
    </w:p>
    <w:p>
      <w:pPr>
        <w:pStyle w:val="ListBullet"/>
        <w:spacing w:after="80" w:line="290" w:lineRule="auto"/>
        <w:ind w:left="720" w:hanging="360"/>
      </w:pPr>
      <w:r>
        <w:rPr>
          <w:rFonts w:ascii="Arial" w:hAnsi="Arial" w:eastAsia="Arial"/>
          <w:color w:val="15171A"/>
          <w:sz w:val="22"/>
        </w:rPr>
        <w:t>Artist commitment: provide approved assets and links, review within seven days, share the profile at least once, and ideally use it as the bio link for two weeks.</w:t>
      </w:r>
    </w:p>
    <w:p>
      <w:pPr>
        <w:pStyle w:val="ListBullet"/>
        <w:spacing w:after="80" w:line="290" w:lineRule="auto"/>
        <w:ind w:left="720" w:hanging="360"/>
      </w:pPr>
      <w:r>
        <w:rPr>
          <w:rFonts w:ascii="Arial" w:hAnsi="Arial" w:eastAsia="Arial"/>
          <w:color w:val="15171A"/>
          <w:sz w:val="22"/>
        </w:rPr>
        <w:t>Scope boundary: no custom layout, artist login, custom domain, campaign management, playlist placement, or guaranteed promotion.</w:t>
      </w:r>
    </w:p>
    <w:p>
      <w:pPr>
        <w:pStyle w:val="Heading2"/>
      </w:pPr>
      <w:r>
        <w:rPr>
          <w:rFonts w:ascii="Arial" w:hAnsi="Arial" w:eastAsia="Arial"/>
          <w:b w:val="0"/>
          <w:i w:val="0"/>
          <w:color w:val="15171A"/>
        </w:rPr>
        <w:t>Stage B - Paid launch model to test</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780"/>
        <w:gridCol w:w="1360"/>
        <w:gridCol w:w="4040"/>
        <w:gridCol w:w="2180"/>
      </w:tblGrid>
      <w:tr>
        <w:trPr>
          <w:tblHeader w:val="true"/>
        </w:trPr>
        <w:tc>
          <w:tcPr>
            <w:tcW w:type="dxa" w:w="178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Offer</w:t>
            </w:r>
          </w:p>
        </w:tc>
        <w:tc>
          <w:tcPr>
            <w:tcW w:type="dxa" w:w="13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Test price</w:t>
            </w:r>
          </w:p>
        </w:tc>
        <w:tc>
          <w:tcPr>
            <w:tcW w:type="dxa" w:w="404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Included</w:t>
            </w:r>
          </w:p>
        </w:tc>
        <w:tc>
          <w:tcPr>
            <w:tcW w:type="dxa" w:w="218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Guardrail</w:t>
            </w:r>
          </w:p>
        </w:tc>
      </w:tr>
      <w:tr>
        <w:tc>
          <w:tcPr>
            <w:tcW w:type="dxa" w:w="1780"/>
            <w:vAlign w:val="center"/>
            <w:tcMar>
              <w:top w:w="100" w:type="dxa"/>
              <w:start w:w="120" w:type="dxa"/>
              <w:bottom w:w="100" w:type="dxa"/>
              <w:end w:w="120" w:type="dxa"/>
            </w:tcMar>
          </w:tcPr>
          <w:p>
            <w:pPr>
              <w:spacing w:after="0" w:line="259" w:lineRule="auto"/>
            </w:pPr>
            <w:r/>
            <w:r>
              <w:rPr>
                <w:rFonts w:ascii="Arial" w:hAnsi="Arial" w:eastAsia="Arial"/>
                <w:color w:val="15171A"/>
                <w:sz w:val="17"/>
              </w:rPr>
              <w:t>Artist Home Foundation</w:t>
            </w:r>
          </w:p>
        </w:tc>
        <w:tc>
          <w:tcPr>
            <w:tcW w:type="dxa" w:w="1360"/>
            <w:vAlign w:val="center"/>
            <w:tcMar>
              <w:top w:w="100" w:type="dxa"/>
              <w:start w:w="120" w:type="dxa"/>
              <w:bottom w:w="100" w:type="dxa"/>
              <w:end w:w="120" w:type="dxa"/>
            </w:tcMar>
          </w:tcPr>
          <w:p>
            <w:pPr>
              <w:spacing w:after="0" w:line="259" w:lineRule="auto"/>
            </w:pPr>
            <w:r/>
            <w:r>
              <w:rPr>
                <w:rFonts w:ascii="Arial" w:hAnsi="Arial" w:eastAsia="Arial"/>
                <w:color w:val="15171A"/>
                <w:sz w:val="17"/>
              </w:rPr>
              <w:t>$149-$249 one time</w:t>
            </w:r>
          </w:p>
        </w:tc>
        <w:tc>
          <w:tcPr>
            <w:tcW w:type="dxa" w:w="4040"/>
            <w:vAlign w:val="center"/>
            <w:tcMar>
              <w:top w:w="100" w:type="dxa"/>
              <w:start w:w="120" w:type="dxa"/>
              <w:bottom w:w="100" w:type="dxa"/>
              <w:end w:w="120" w:type="dxa"/>
            </w:tcMar>
          </w:tcPr>
          <w:p>
            <w:pPr>
              <w:spacing w:after="0" w:line="259" w:lineRule="auto"/>
            </w:pPr>
            <w:r>
              <w:t>Managed profile, full editorial biography, one Start Here release, two More from cards, first editorial page, approval, launch.</w:t>
            </w:r>
            <w:r>
              <w:rPr>
                <w:rFonts w:ascii="Arial" w:hAnsi="Arial" w:eastAsia="Arial"/>
                <w:color w:val="15171A"/>
                <w:sz w:val="17"/>
              </w:rPr>
            </w:r>
          </w:p>
        </w:tc>
        <w:tc>
          <w:tcPr>
            <w:tcW w:type="dxa" w:w="2180"/>
            <w:vAlign w:val="center"/>
            <w:tcMar>
              <w:top w:w="100" w:type="dxa"/>
              <w:start w:w="120" w:type="dxa"/>
              <w:bottom w:w="100" w:type="dxa"/>
              <w:end w:w="120" w:type="dxa"/>
            </w:tcMar>
          </w:tcPr>
          <w:p>
            <w:pPr>
              <w:spacing w:after="0" w:line="259" w:lineRule="auto"/>
            </w:pPr>
            <w:r>
              <w:t>One of ten controlled themes; two revision rounds.</w:t>
            </w:r>
            <w:r>
              <w:rPr>
                <w:rFonts w:ascii="Arial" w:hAnsi="Arial" w:eastAsia="Arial"/>
                <w:color w:val="15171A"/>
                <w:sz w:val="17"/>
              </w:rPr>
            </w:r>
          </w:p>
        </w:tc>
      </w:tr>
      <w:tr>
        <w:tc>
          <w:tcPr>
            <w:tcW w:type="dxa" w:w="1780"/>
            <w:vAlign w:val="center"/>
            <w:tcMar>
              <w:top w:w="100" w:type="dxa"/>
              <w:start w:w="120" w:type="dxa"/>
              <w:bottom w:w="100" w:type="dxa"/>
              <w:end w:w="120" w:type="dxa"/>
            </w:tcMar>
          </w:tcPr>
          <w:p>
            <w:pPr>
              <w:spacing w:after="0" w:line="259" w:lineRule="auto"/>
            </w:pPr>
            <w:r/>
            <w:r>
              <w:rPr>
                <w:rFonts w:ascii="Arial" w:hAnsi="Arial" w:eastAsia="Arial"/>
                <w:color w:val="15171A"/>
                <w:sz w:val="17"/>
              </w:rPr>
              <w:t>Annual Care</w:t>
            </w:r>
          </w:p>
        </w:tc>
        <w:tc>
          <w:tcPr>
            <w:tcW w:type="dxa" w:w="1360"/>
            <w:vAlign w:val="center"/>
            <w:tcMar>
              <w:top w:w="100" w:type="dxa"/>
              <w:start w:w="120" w:type="dxa"/>
              <w:bottom w:w="100" w:type="dxa"/>
              <w:end w:w="120" w:type="dxa"/>
            </w:tcMar>
          </w:tcPr>
          <w:p>
            <w:pPr>
              <w:spacing w:after="0" w:line="259" w:lineRule="auto"/>
            </w:pPr>
            <w:r/>
            <w:r>
              <w:rPr>
                <w:rFonts w:ascii="Arial" w:hAnsi="Arial" w:eastAsia="Arial"/>
                <w:color w:val="15171A"/>
                <w:sz w:val="17"/>
              </w:rPr>
              <w:t>$75-$125 per year</w:t>
            </w:r>
          </w:p>
        </w:tc>
        <w:tc>
          <w:tcPr>
            <w:tcW w:type="dxa" w:w="4040"/>
            <w:vAlign w:val="center"/>
            <w:tcMar>
              <w:top w:w="100" w:type="dxa"/>
              <w:start w:w="120" w:type="dxa"/>
              <w:bottom w:w="100" w:type="dxa"/>
              <w:end w:w="120" w:type="dxa"/>
            </w:tcMar>
          </w:tcPr>
          <w:p>
            <w:pPr>
              <w:spacing w:after="0" w:line="259" w:lineRule="auto"/>
            </w:pPr>
            <w:r/>
            <w:r>
              <w:rPr>
                <w:rFonts w:ascii="Arial" w:hAnsi="Arial" w:eastAsia="Arial"/>
                <w:color w:val="15171A"/>
                <w:sz w:val="17"/>
              </w:rPr>
              <w:t>Hosting, link monitoring, rights/takedown handling, two routine update batches.</w:t>
            </w:r>
          </w:p>
        </w:tc>
        <w:tc>
          <w:tcPr>
            <w:tcW w:type="dxa" w:w="2180"/>
            <w:vAlign w:val="center"/>
            <w:tcMar>
              <w:top w:w="100" w:type="dxa"/>
              <w:start w:w="120" w:type="dxa"/>
              <w:bottom w:w="100" w:type="dxa"/>
              <w:end w:w="120" w:type="dxa"/>
            </w:tcMar>
          </w:tcPr>
          <w:p>
            <w:pPr>
              <w:spacing w:after="0" w:line="259" w:lineRule="auto"/>
            </w:pPr>
            <w:r/>
            <w:r>
              <w:rPr>
                <w:rFonts w:ascii="Arial" w:hAnsi="Arial" w:eastAsia="Arial"/>
                <w:color w:val="15171A"/>
                <w:sz w:val="17"/>
              </w:rPr>
              <w:t>Extra updates billed separately; no instant support.</w:t>
            </w:r>
          </w:p>
        </w:tc>
      </w:tr>
      <w:tr>
        <w:tc>
          <w:tcPr>
            <w:tcW w:type="dxa" w:w="1780"/>
            <w:vAlign w:val="center"/>
            <w:tcMar>
              <w:top w:w="100" w:type="dxa"/>
              <w:start w:w="120" w:type="dxa"/>
              <w:bottom w:w="100" w:type="dxa"/>
              <w:end w:w="120" w:type="dxa"/>
            </w:tcMar>
          </w:tcPr>
          <w:p>
            <w:pPr>
              <w:spacing w:after="0" w:line="259" w:lineRule="auto"/>
            </w:pPr>
            <w:r/>
            <w:r>
              <w:rPr>
                <w:rFonts w:ascii="Arial" w:hAnsi="Arial" w:eastAsia="Arial"/>
                <w:color w:val="15171A"/>
                <w:sz w:val="17"/>
              </w:rPr>
              <w:t>Editorial Release</w:t>
            </w:r>
          </w:p>
        </w:tc>
        <w:tc>
          <w:tcPr>
            <w:tcW w:type="dxa" w:w="1360"/>
            <w:vAlign w:val="center"/>
            <w:tcMar>
              <w:top w:w="100" w:type="dxa"/>
              <w:start w:w="120" w:type="dxa"/>
              <w:bottom w:w="100" w:type="dxa"/>
              <w:end w:w="120" w:type="dxa"/>
            </w:tcMar>
          </w:tcPr>
          <w:p>
            <w:pPr>
              <w:spacing w:after="0" w:line="259" w:lineRule="auto"/>
            </w:pPr>
            <w:r/>
            <w:r>
              <w:rPr>
                <w:rFonts w:ascii="Arial" w:hAnsi="Arial" w:eastAsia="Arial"/>
                <w:color w:val="15171A"/>
                <w:sz w:val="17"/>
              </w:rPr>
              <w:t>$75-$150 per release</w:t>
            </w:r>
          </w:p>
        </w:tc>
        <w:tc>
          <w:tcPr>
            <w:tcW w:type="dxa" w:w="4040"/>
            <w:vAlign w:val="center"/>
            <w:tcMar>
              <w:top w:w="100" w:type="dxa"/>
              <w:start w:w="120" w:type="dxa"/>
              <w:bottom w:w="100" w:type="dxa"/>
              <w:end w:w="120" w:type="dxa"/>
            </w:tcMar>
          </w:tcPr>
          <w:p>
            <w:pPr>
              <w:spacing w:after="0" w:line="259" w:lineRule="auto"/>
            </w:pPr>
            <w:r/>
            <w:r>
              <w:rPr>
                <w:rFonts w:ascii="Arial" w:hAnsi="Arial" w:eastAsia="Arial"/>
                <w:color w:val="15171A"/>
                <w:sz w:val="17"/>
              </w:rPr>
              <w:t>Story, context, credits, lyrics when permitted, 3-8 annotations, links, analytics.</w:t>
            </w:r>
          </w:p>
        </w:tc>
        <w:tc>
          <w:tcPr>
            <w:tcW w:type="dxa" w:w="2180"/>
            <w:vAlign w:val="center"/>
            <w:tcMar>
              <w:top w:w="100" w:type="dxa"/>
              <w:start w:w="120" w:type="dxa"/>
              <w:bottom w:w="100" w:type="dxa"/>
              <w:end w:w="120" w:type="dxa"/>
            </w:tcMar>
          </w:tcPr>
          <w:p>
            <w:pPr>
              <w:spacing w:after="0" w:line="259" w:lineRule="auto"/>
            </w:pPr>
            <w:r/>
            <w:r>
              <w:rPr>
                <w:rFonts w:ascii="Arial" w:hAnsi="Arial" w:eastAsia="Arial"/>
                <w:color w:val="15171A"/>
                <w:sz w:val="17"/>
              </w:rPr>
              <w:t>One revision; artist supplies accurate source material.</w:t>
            </w:r>
          </w:p>
        </w:tc>
      </w:tr>
      <w:tr>
        <w:tc>
          <w:tcPr>
            <w:tcW w:type="dxa" w:w="1780"/>
            <w:vAlign w:val="center"/>
            <w:tcMar>
              <w:top w:w="100" w:type="dxa"/>
              <w:start w:w="120" w:type="dxa"/>
              <w:bottom w:w="100" w:type="dxa"/>
              <w:end w:w="120" w:type="dxa"/>
            </w:tcMar>
          </w:tcPr>
          <w:p>
            <w:pPr>
              <w:spacing w:after="0" w:line="259" w:lineRule="auto"/>
            </w:pPr>
            <w:r/>
            <w:r>
              <w:rPr>
                <w:rFonts w:ascii="Arial" w:hAnsi="Arial" w:eastAsia="Arial"/>
                <w:color w:val="15171A"/>
                <w:sz w:val="17"/>
              </w:rPr>
              <w:t>Profile Refresh</w:t>
            </w:r>
          </w:p>
        </w:tc>
        <w:tc>
          <w:tcPr>
            <w:tcW w:type="dxa" w:w="1360"/>
            <w:vAlign w:val="center"/>
            <w:tcMar>
              <w:top w:w="100" w:type="dxa"/>
              <w:start w:w="120" w:type="dxa"/>
              <w:bottom w:w="100" w:type="dxa"/>
              <w:end w:w="120" w:type="dxa"/>
            </w:tcMar>
          </w:tcPr>
          <w:p>
            <w:pPr>
              <w:spacing w:after="0" w:line="259" w:lineRule="auto"/>
            </w:pPr>
            <w:r/>
            <w:r>
              <w:rPr>
                <w:rFonts w:ascii="Arial" w:hAnsi="Arial" w:eastAsia="Arial"/>
                <w:color w:val="15171A"/>
                <w:sz w:val="17"/>
              </w:rPr>
              <w:t>$35-$65</w:t>
            </w:r>
          </w:p>
        </w:tc>
        <w:tc>
          <w:tcPr>
            <w:tcW w:type="dxa" w:w="4040"/>
            <w:vAlign w:val="center"/>
            <w:tcMar>
              <w:top w:w="100" w:type="dxa"/>
              <w:start w:w="120" w:type="dxa"/>
              <w:bottom w:w="100" w:type="dxa"/>
              <w:end w:w="120" w:type="dxa"/>
            </w:tcMar>
          </w:tcPr>
          <w:p>
            <w:pPr>
              <w:spacing w:after="0" w:line="259" w:lineRule="auto"/>
            </w:pPr>
            <w:r>
              <w:t>Editorial biography, artwork, links, location, or release-card refresh as one batch.</w:t>
            </w:r>
            <w:r>
              <w:rPr>
                <w:rFonts w:ascii="Arial" w:hAnsi="Arial" w:eastAsia="Arial"/>
                <w:color w:val="15171A"/>
                <w:sz w:val="17"/>
              </w:rPr>
            </w:r>
          </w:p>
        </w:tc>
        <w:tc>
          <w:tcPr>
            <w:tcW w:type="dxa" w:w="2180"/>
            <w:vAlign w:val="center"/>
            <w:tcMar>
              <w:top w:w="100" w:type="dxa"/>
              <w:start w:w="120" w:type="dxa"/>
              <w:bottom w:w="100" w:type="dxa"/>
              <w:end w:w="120" w:type="dxa"/>
            </w:tcMar>
          </w:tcPr>
          <w:p>
            <w:pPr>
              <w:spacing w:after="0" w:line="259" w:lineRule="auto"/>
            </w:pPr>
            <w:r/>
            <w:r>
              <w:rPr>
                <w:rFonts w:ascii="Arial" w:hAnsi="Arial" w:eastAsia="Arial"/>
                <w:color w:val="15171A"/>
                <w:sz w:val="17"/>
              </w:rPr>
              <w:t>No structural redesign.</w:t>
            </w:r>
          </w:p>
        </w:tc>
      </w:tr>
      <w:tr>
        <w:tc>
          <w:tcPr>
            <w:tcW w:type="dxa" w:w="1780"/>
            <w:vAlign w:val="center"/>
            <w:tcMar>
              <w:top w:w="100" w:type="dxa"/>
              <w:start w:w="120" w:type="dxa"/>
              <w:bottom w:w="100" w:type="dxa"/>
              <w:end w:w="120" w:type="dxa"/>
            </w:tcMar>
          </w:tcPr>
          <w:p>
            <w:pPr>
              <w:spacing w:after="0" w:line="259" w:lineRule="auto"/>
            </w:pPr>
            <w:r/>
            <w:r>
              <w:rPr>
                <w:rFonts w:ascii="Arial" w:hAnsi="Arial" w:eastAsia="Arial"/>
                <w:color w:val="15171A"/>
                <w:sz w:val="17"/>
              </w:rPr>
              <w:t>Project / EP Feature</w:t>
            </w:r>
          </w:p>
        </w:tc>
        <w:tc>
          <w:tcPr>
            <w:tcW w:type="dxa" w:w="1360"/>
            <w:vAlign w:val="center"/>
            <w:tcMar>
              <w:top w:w="100" w:type="dxa"/>
              <w:start w:w="120" w:type="dxa"/>
              <w:bottom w:w="100" w:type="dxa"/>
              <w:end w:w="120" w:type="dxa"/>
            </w:tcMar>
          </w:tcPr>
          <w:p>
            <w:pPr>
              <w:spacing w:after="0" w:line="259" w:lineRule="auto"/>
            </w:pPr>
            <w:r/>
            <w:r>
              <w:rPr>
                <w:rFonts w:ascii="Arial" w:hAnsi="Arial" w:eastAsia="Arial"/>
                <w:color w:val="15171A"/>
                <w:sz w:val="17"/>
              </w:rPr>
              <w:t>$175-$350</w:t>
            </w:r>
          </w:p>
        </w:tc>
        <w:tc>
          <w:tcPr>
            <w:tcW w:type="dxa" w:w="4040"/>
            <w:vAlign w:val="center"/>
            <w:tcMar>
              <w:top w:w="100" w:type="dxa"/>
              <w:start w:w="120" w:type="dxa"/>
              <w:bottom w:w="100" w:type="dxa"/>
              <w:end w:w="120" w:type="dxa"/>
            </w:tcMar>
          </w:tcPr>
          <w:p>
            <w:pPr>
              <w:spacing w:after="0" w:line="259" w:lineRule="auto"/>
            </w:pPr>
            <w:r/>
            <w:r>
              <w:rPr>
                <w:rFonts w:ascii="Arial" w:hAnsi="Arial" w:eastAsia="Arial"/>
                <w:color w:val="15171A"/>
                <w:sz w:val="17"/>
              </w:rPr>
              <w:t>Project overview plus multiple linked editorial sections.</w:t>
            </w:r>
          </w:p>
        </w:tc>
        <w:tc>
          <w:tcPr>
            <w:tcW w:type="dxa" w:w="2180"/>
            <w:vAlign w:val="center"/>
            <w:tcMar>
              <w:top w:w="100" w:type="dxa"/>
              <w:start w:w="120" w:type="dxa"/>
              <w:bottom w:w="100" w:type="dxa"/>
              <w:end w:w="120" w:type="dxa"/>
            </w:tcMar>
          </w:tcPr>
          <w:p>
            <w:pPr>
              <w:spacing w:after="0" w:line="259" w:lineRule="auto"/>
            </w:pPr>
            <w:r/>
            <w:r>
              <w:rPr>
                <w:rFonts w:ascii="Arial" w:hAnsi="Arial" w:eastAsia="Arial"/>
                <w:color w:val="15171A"/>
                <w:sz w:val="17"/>
              </w:rPr>
              <w:t>Quote after scope review.</w:t>
            </w:r>
          </w:p>
        </w:tc>
      </w:tr>
    </w:tbl>
    <w:p>
      <w:pPr>
        <w:spacing w:after="40"/>
      </w:pPr>
    </w:p>
    <w:p>
      <w:pPr>
        <w:spacing w:after="200"/>
      </w:pPr>
      <w:r>
        <w:rPr>
          <w:rFonts w:ascii="Arial" w:hAnsi="Arial" w:eastAsia="Arial"/>
          <w:b w:val="0"/>
          <w:i/>
          <w:color w:val="666B73"/>
          <w:sz w:val="19"/>
        </w:rPr>
        <w:t>These are test bands, not permanent prices. Final pricing should follow measured production time, revision volume, support burden, and willingness-to-pay interviews.</w:t>
      </w:r>
    </w:p>
    <w:p>
      <w:pPr>
        <w:pStyle w:val="Heading2"/>
      </w:pPr>
      <w:r>
        <w:rPr>
          <w:rFonts w:ascii="Arial" w:hAnsi="Arial" w:eastAsia="Arial"/>
          <w:b w:val="0"/>
          <w:i w:val="0"/>
          <w:color w:val="15171A"/>
        </w:rPr>
        <w:t>Recommended terms</w:t>
      </w:r>
    </w:p>
    <w:p>
      <w:pPr>
        <w:pStyle w:val="ListBullet"/>
        <w:spacing w:after="80" w:line="290" w:lineRule="auto"/>
        <w:ind w:left="720" w:hanging="360"/>
      </w:pPr>
      <w:r>
        <w:rPr>
          <w:rFonts w:ascii="Arial" w:hAnsi="Arial" w:eastAsia="Arial"/>
          <w:color w:val="15171A"/>
          <w:sz w:val="22"/>
        </w:rPr>
        <w:t>Normal update target: five business days; broken-link correction target: two business days.</w:t>
      </w:r>
    </w:p>
    <w:p>
      <w:pPr>
        <w:pStyle w:val="ListBullet"/>
        <w:spacing w:after="80" w:line="290" w:lineRule="auto"/>
        <w:ind w:left="720" w:hanging="360"/>
      </w:pPr>
      <w:r>
        <w:rPr>
          <w:rFonts w:ascii="Arial" w:hAnsi="Arial" w:eastAsia="Arial"/>
          <w:color w:val="15171A"/>
          <w:sz w:val="22"/>
        </w:rPr>
        <w:t>Artist retains ownership of submitted content and can request edits, pause, or takedown.</w:t>
      </w:r>
    </w:p>
    <w:p>
      <w:pPr>
        <w:pStyle w:val="ListBullet"/>
        <w:spacing w:after="80" w:line="290" w:lineRule="auto"/>
        <w:ind w:left="720" w:hanging="360"/>
      </w:pPr>
      <w:r>
        <w:rPr>
          <w:rFonts w:ascii="Arial" w:hAnsi="Arial" w:eastAsia="Arial"/>
          <w:color w:val="15171A"/>
          <w:sz w:val="22"/>
        </w:rPr>
        <w:t>Artist confirms rights to submitted imagery, text, and lyrics.</w:t>
      </w:r>
    </w:p>
    <w:p>
      <w:pPr>
        <w:pStyle w:val="ListBullet"/>
        <w:spacing w:after="80" w:line="290" w:lineRule="auto"/>
        <w:ind w:left="720" w:hanging="360"/>
      </w:pPr>
      <w:r>
        <w:rPr>
          <w:rFonts w:ascii="Arial" w:hAnsi="Arial" w:eastAsia="Arial"/>
          <w:color w:val="15171A"/>
          <w:sz w:val="22"/>
        </w:rPr>
        <w:t>No guarantee of streams, audience growth, revenue, press, playlist placement, or search ranking.</w:t>
      </w:r>
    </w:p>
    <w:p>
      <w:pPr>
        <w:pStyle w:val="ListBullet"/>
        <w:spacing w:after="80" w:line="290" w:lineRule="auto"/>
        <w:ind w:left="720" w:hanging="360"/>
      </w:pPr>
      <w:r>
        <w:rPr>
          <w:rFonts w:ascii="Arial" w:hAnsi="Arial" w:eastAsia="Arial"/>
          <w:color w:val="15171A"/>
          <w:sz w:val="22"/>
        </w:rPr>
        <w:t>vvviruz may standardize layout and refuse misleading, harmful, or rights-unclear content.</w:t>
      </w:r>
    </w:p>
    <w:p>
      <w:r>
        <w:br w:type="page"/>
      </w:r>
    </w:p>
    <w:p>
      <w:pPr>
        <w:pStyle w:val="Heading1"/>
      </w:pPr>
      <w:r>
        <w:rPr>
          <w:rFonts w:ascii="Arial" w:hAnsi="Arial" w:eastAsia="Arial"/>
          <w:b w:val="0"/>
          <w:i w:val="0"/>
          <w:color w:val="15171A"/>
        </w:rPr>
        <w:t>6. Pilot design and decision rules</w:t>
      </w:r>
    </w:p>
    <w:p>
      <w:pPr>
        <w:pStyle w:val="Heading2"/>
      </w:pPr>
      <w:r>
        <w:rPr>
          <w:rFonts w:ascii="Arial" w:hAnsi="Arial" w:eastAsia="Arial"/>
          <w:b w:val="0"/>
          <w:i w:val="0"/>
          <w:color w:val="15171A"/>
        </w:rPr>
        <w:t>Run the pilot sequentially</w:t>
      </w:r>
    </w:p>
    <w:p>
      <w:pPr>
        <w:pStyle w:val="ListNumber"/>
        <w:spacing w:after="80" w:line="290" w:lineRule="auto"/>
        <w:ind w:left="720" w:hanging="360"/>
      </w:pPr>
      <w:r>
        <w:rPr>
          <w:rFonts w:ascii="Arial" w:hAnsi="Arial" w:eastAsia="Arial"/>
          <w:color w:val="15171A"/>
          <w:sz w:val="22"/>
        </w:rPr>
        <w:t>Finish the first collaborator from intake through approval, publication, sharing, and one simulated update.</w:t>
      </w:r>
    </w:p>
    <w:p>
      <w:pPr>
        <w:pStyle w:val="ListNumber"/>
        <w:spacing w:after="80" w:line="290" w:lineRule="auto"/>
        <w:ind w:left="720" w:hanging="360"/>
      </w:pPr>
      <w:r>
        <w:rPr>
          <w:rFonts w:ascii="Arial" w:hAnsi="Arial" w:eastAsia="Arial"/>
          <w:color w:val="15171A"/>
          <w:sz w:val="22"/>
        </w:rPr>
        <w:t>Record every minute spent on chasing information, copy, artwork, release setup, revisions, and maintenance.</w:t>
      </w:r>
    </w:p>
    <w:p>
      <w:pPr>
        <w:pStyle w:val="ListNumber"/>
        <w:spacing w:after="80" w:line="290" w:lineRule="auto"/>
        <w:ind w:left="720" w:hanging="360"/>
      </w:pPr>
      <w:r>
        <w:rPr>
          <w:rFonts w:ascii="Arial" w:hAnsi="Arial" w:eastAsia="Arial"/>
          <w:color w:val="15171A"/>
          <w:sz w:val="22"/>
        </w:rPr>
        <w:t>Lock the repeatable profile scope and intake questions before starting artist two.</w:t>
      </w:r>
    </w:p>
    <w:p>
      <w:pPr>
        <w:pStyle w:val="ListNumber"/>
        <w:spacing w:after="80" w:line="290" w:lineRule="auto"/>
        <w:ind w:left="720" w:hanging="360"/>
      </w:pPr>
      <w:r>
        <w:rPr>
          <w:rFonts w:ascii="Arial" w:hAnsi="Arial" w:eastAsia="Arial"/>
          <w:color w:val="15171A"/>
          <w:sz w:val="22"/>
        </w:rPr>
        <w:t>Build the remaining four with the same system and let each artist select from the ten controlled theme families.</w:t>
      </w:r>
    </w:p>
    <w:p>
      <w:pPr>
        <w:pStyle w:val="ListNumber"/>
        <w:spacing w:after="80" w:line="290" w:lineRule="auto"/>
        <w:ind w:left="720" w:hanging="360"/>
      </w:pPr>
      <w:r>
        <w:rPr>
          <w:rFonts w:ascii="Arial" w:hAnsi="Arial" w:eastAsia="Arial"/>
          <w:color w:val="15171A"/>
          <w:sz w:val="22"/>
        </w:rPr>
        <w:t>Evaluate after 60-90 days; do not add accounts, billing, or broad platform features before the decision.</w:t>
      </w:r>
    </w:p>
    <w:p>
      <w:pPr>
        <w:pStyle w:val="Heading2"/>
      </w:pPr>
      <w:r>
        <w:rPr>
          <w:rFonts w:ascii="Arial" w:hAnsi="Arial" w:eastAsia="Arial"/>
          <w:b w:val="0"/>
          <w:i w:val="0"/>
          <w:color w:val="15171A"/>
        </w:rPr>
        <w:t>Success scorecard</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800"/>
        <w:gridCol w:w="4800"/>
        <w:gridCol w:w="2760"/>
      </w:tblGrid>
      <w:tr>
        <w:trPr>
          <w:tblHeader w:val="true"/>
        </w:trPr>
        <w:tc>
          <w:tcPr>
            <w:tcW w:type="dxa" w:w="18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Dimension</w:t>
            </w:r>
          </w:p>
        </w:tc>
        <w:tc>
          <w:tcPr>
            <w:tcW w:type="dxa" w:w="48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Pilot signal</w:t>
            </w:r>
          </w:p>
        </w:tc>
        <w:tc>
          <w:tcPr>
            <w:tcW w:type="dxa" w:w="27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Proposed threshold</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Adoption</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Profiles that reach approval and publication</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At least 4 of 5</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Behavior</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who share once</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At least 4 of 5</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Replacement</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who use it as a bio link for 2+ weeks</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At least 2 of 5</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Fan action</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Profile visitors who open the featured release</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Target 20%+</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Fan action</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Profile visitors who click a streaming destination</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Target 15%+</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Production</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Initial profile + featured release build time</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Median 3.5 hours or less</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Maintenance</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Routine monthly work after launch</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Median 30 minutes or less</w:t>
            </w:r>
          </w:p>
        </w:tc>
      </w:tr>
      <w:tr>
        <w:tc>
          <w:tcPr>
            <w:tcW w:type="dxa" w:w="1800"/>
            <w:vAlign w:val="center"/>
            <w:tcMar>
              <w:top w:w="100" w:type="dxa"/>
              <w:start w:w="120" w:type="dxa"/>
              <w:bottom w:w="100" w:type="dxa"/>
              <w:end w:w="120" w:type="dxa"/>
            </w:tcMar>
          </w:tcPr>
          <w:p>
            <w:pPr>
              <w:spacing w:after="0" w:line="259" w:lineRule="auto"/>
            </w:pPr>
            <w:r/>
            <w:r>
              <w:rPr>
                <w:rFonts w:ascii="Arial" w:hAnsi="Arial" w:eastAsia="Arial"/>
                <w:color w:val="15171A"/>
                <w:sz w:val="18"/>
              </w:rPr>
              <w:t>Willingness to pay</w:t>
            </w:r>
          </w:p>
        </w:tc>
        <w:tc>
          <w:tcPr>
            <w:tcW w:type="dxa" w:w="48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open to a stated paid package</w:t>
            </w:r>
          </w:p>
        </w:tc>
        <w:tc>
          <w:tcPr>
            <w:tcW w:type="dxa" w:w="2760"/>
            <w:vAlign w:val="center"/>
            <w:tcMar>
              <w:top w:w="100" w:type="dxa"/>
              <w:start w:w="120" w:type="dxa"/>
              <w:bottom w:w="100" w:type="dxa"/>
              <w:end w:w="120" w:type="dxa"/>
            </w:tcMar>
          </w:tcPr>
          <w:p>
            <w:pPr>
              <w:spacing w:after="0" w:line="259" w:lineRule="auto"/>
            </w:pPr>
            <w:r/>
            <w:r>
              <w:rPr>
                <w:rFonts w:ascii="Arial" w:hAnsi="Arial" w:eastAsia="Arial"/>
                <w:color w:val="15171A"/>
                <w:sz w:val="18"/>
              </w:rPr>
              <w:t>At least 2 of 5</w:t>
            </w:r>
          </w:p>
        </w:tc>
      </w:tr>
    </w:tbl>
    <w:p>
      <w:pPr>
        <w:spacing w:after="40"/>
      </w:pPr>
    </w:p>
    <w:p>
      <w:pPr>
        <w:pStyle w:val="Heading2"/>
      </w:pPr>
      <w:r>
        <w:rPr>
          <w:rFonts w:ascii="Arial" w:hAnsi="Arial" w:eastAsia="Arial"/>
          <w:b w:val="0"/>
          <w:i w:val="0"/>
          <w:color w:val="15171A"/>
        </w:rPr>
        <w:t>Go / revise / stop</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1600"/>
        <w:gridCol w:w="7760"/>
      </w:tblGrid>
      <w:tr>
        <w:trPr>
          <w:tblHeader w:val="true"/>
        </w:trPr>
        <w:tc>
          <w:tcPr>
            <w:tcW w:type="dxa" w:w="16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Decision</w:t>
            </w:r>
          </w:p>
        </w:tc>
        <w:tc>
          <w:tcPr>
            <w:tcW w:type="dxa" w:w="77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Trigger</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8"/>
              </w:rPr>
              <w:t>GO</w:t>
            </w:r>
          </w:p>
        </w:tc>
        <w:tc>
          <w:tcPr>
            <w:tcW w:type="dxa" w:w="776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publish and use the pages; fan actions are visible; median labor fits the test pricing.</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8"/>
              </w:rPr>
              <w:t>REVISE</w:t>
            </w:r>
          </w:p>
        </w:tc>
        <w:tc>
          <w:tcPr>
            <w:tcW w:type="dxa" w:w="776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value the result but labor or scope is too high. Reduce deliverables, raise price, or productize intake.</w:t>
            </w:r>
          </w:p>
        </w:tc>
      </w:tr>
      <w:tr>
        <w:tc>
          <w:tcPr>
            <w:tcW w:type="dxa" w:w="1600"/>
            <w:vAlign w:val="center"/>
            <w:tcMar>
              <w:top w:w="100" w:type="dxa"/>
              <w:start w:w="120" w:type="dxa"/>
              <w:bottom w:w="100" w:type="dxa"/>
              <w:end w:w="120" w:type="dxa"/>
            </w:tcMar>
          </w:tcPr>
          <w:p>
            <w:pPr>
              <w:spacing w:after="0" w:line="259" w:lineRule="auto"/>
            </w:pPr>
            <w:r/>
            <w:r>
              <w:rPr>
                <w:rFonts w:ascii="Arial" w:hAnsi="Arial" w:eastAsia="Arial"/>
                <w:color w:val="15171A"/>
                <w:sz w:val="18"/>
              </w:rPr>
              <w:t>STOP</w:t>
            </w:r>
          </w:p>
        </w:tc>
        <w:tc>
          <w:tcPr>
            <w:tcW w:type="dxa" w:w="776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do not complete approval, do not share/use the page, or reject realistic managed-service pricing.</w:t>
            </w:r>
          </w:p>
        </w:tc>
      </w:tr>
    </w:tbl>
    <w:p>
      <w:pPr>
        <w:spacing w:after="40"/>
      </w:pPr>
    </w:p>
    <w:p>
      <w:r>
        <w:br w:type="page"/>
      </w:r>
    </w:p>
    <w:p>
      <w:pPr>
        <w:pStyle w:val="Heading1"/>
      </w:pPr>
      <w:r>
        <w:rPr>
          <w:rFonts w:ascii="Arial" w:hAnsi="Arial" w:eastAsia="Arial"/>
          <w:b w:val="0"/>
          <w:i w:val="0"/>
          <w:color w:val="15171A"/>
        </w:rPr>
        <w:t>7. Best path forward</w:t>
      </w:r>
    </w:p>
    <w:p>
      <w:pPr>
        <w:pStyle w:val="Heading2"/>
      </w:pPr>
      <w:r>
        <w:rPr>
          <w:rFonts w:ascii="Arial" w:hAnsi="Arial" w:eastAsia="Arial"/>
          <w:b w:val="0"/>
          <w:i w:val="0"/>
          <w:color w:val="15171A"/>
        </w:rPr>
        <w:t>Now - finish the first proof</w:t>
      </w:r>
    </w:p>
    <w:p>
      <w:pPr>
        <w:pStyle w:val="ListBullet"/>
        <w:spacing w:after="80" w:line="290" w:lineRule="auto"/>
        <w:ind w:left="720" w:hanging="360"/>
      </w:pPr>
      <w:r>
        <w:rPr>
          <w:rFonts w:ascii="Arial" w:hAnsi="Arial" w:eastAsia="Arial"/>
          <w:color w:val="15171A"/>
          <w:sz w:val="22"/>
        </w:rPr>
        <w:t>Create the selected editorial release inside the artist record.</w:t>
      </w:r>
    </w:p>
    <w:p>
      <w:pPr>
        <w:pStyle w:val="ListBullet"/>
        <w:spacing w:after="80" w:line="290" w:lineRule="auto"/>
        <w:ind w:left="720" w:hanging="360"/>
      </w:pPr>
      <w:r>
        <w:rPr>
          <w:rFonts w:ascii="Arial" w:hAnsi="Arial" w:eastAsia="Arial"/>
          <w:color w:val="15171A"/>
          <w:sz w:val="22"/>
        </w:rPr>
        <w:t>Add story, release context, credits, approved lyrics, and a small set of meaningful annotations.</w:t>
      </w:r>
    </w:p>
    <w:p>
      <w:pPr>
        <w:pStyle w:val="ListBullet"/>
        <w:spacing w:after="80" w:line="290" w:lineRule="auto"/>
        <w:ind w:left="720" w:hanging="360"/>
      </w:pPr>
      <w:r>
        <w:rPr>
          <w:rFonts w:ascii="Arial" w:hAnsi="Arial" w:eastAsia="Arial"/>
          <w:color w:val="15171A"/>
          <w:sz w:val="22"/>
        </w:rPr>
        <w:t>Connect the release to the featured profile card and generate the next private preview version.</w:t>
      </w:r>
    </w:p>
    <w:p>
      <w:pPr>
        <w:pStyle w:val="ListBullet"/>
        <w:spacing w:after="80" w:line="290" w:lineRule="auto"/>
        <w:ind w:left="720" w:hanging="360"/>
      </w:pPr>
      <w:r>
        <w:rPr>
          <w:rFonts w:ascii="Arial" w:hAnsi="Arial" w:eastAsia="Arial"/>
          <w:color w:val="15171A"/>
          <w:sz w:val="22"/>
        </w:rPr>
        <w:t>Capture approval in writing, publish, and ask the artist to share or use the page.</w:t>
      </w:r>
    </w:p>
    <w:p>
      <w:pPr>
        <w:pStyle w:val="ListBullet"/>
        <w:spacing w:after="80" w:line="290" w:lineRule="auto"/>
        <w:ind w:left="720" w:hanging="360"/>
      </w:pPr>
      <w:r>
        <w:rPr>
          <w:rFonts w:ascii="Arial" w:hAnsi="Arial" w:eastAsia="Arial"/>
          <w:color w:val="15171A"/>
          <w:sz w:val="22"/>
        </w:rPr>
        <w:t>Measure production time and the first 60 days of behavior.</w:t>
      </w:r>
    </w:p>
    <w:p>
      <w:pPr>
        <w:pStyle w:val="Heading2"/>
      </w:pPr>
      <w:r>
        <w:rPr>
          <w:rFonts w:ascii="Arial" w:hAnsi="Arial" w:eastAsia="Arial"/>
          <w:b w:val="0"/>
          <w:i w:val="0"/>
          <w:color w:val="15171A"/>
        </w:rPr>
        <w:t>Next - standardize the service</w:t>
      </w:r>
    </w:p>
    <w:p>
      <w:pPr>
        <w:pStyle w:val="ListBullet"/>
        <w:spacing w:after="80" w:line="290" w:lineRule="auto"/>
        <w:ind w:left="720" w:hanging="360"/>
      </w:pPr>
      <w:r>
        <w:rPr>
          <w:rFonts w:ascii="Arial" w:hAnsi="Arial" w:eastAsia="Arial"/>
          <w:color w:val="15171A"/>
          <w:sz w:val="22"/>
        </w:rPr>
        <w:t>Finalize the intake form based on what the first artist failed to provide cleanly.</w:t>
      </w:r>
    </w:p>
    <w:p>
      <w:pPr>
        <w:pStyle w:val="ListBullet"/>
        <w:spacing w:after="80" w:line="290" w:lineRule="auto"/>
        <w:ind w:left="720" w:hanging="360"/>
      </w:pPr>
      <w:r>
        <w:rPr>
          <w:rFonts w:ascii="Arial" w:hAnsi="Arial" w:eastAsia="Arial"/>
          <w:color w:val="15171A"/>
          <w:sz w:val="22"/>
        </w:rPr>
        <w:t>Create a short participation and rights agreement.</w:t>
      </w:r>
    </w:p>
    <w:p>
      <w:pPr>
        <w:pStyle w:val="ListBullet"/>
        <w:spacing w:after="80" w:line="290" w:lineRule="auto"/>
        <w:ind w:left="720" w:hanging="360"/>
      </w:pPr>
      <w:r>
        <w:rPr>
          <w:rFonts w:ascii="Arial" w:hAnsi="Arial" w:eastAsia="Arial"/>
          <w:color w:val="15171A"/>
          <w:sz w:val="22"/>
        </w:rPr>
        <w:t>Create update and takedown request forms before scaling the pilot.</w:t>
      </w:r>
    </w:p>
    <w:p>
      <w:pPr>
        <w:pStyle w:val="ListBullet"/>
        <w:spacing w:after="80" w:line="290" w:lineRule="auto"/>
        <w:ind w:left="720" w:hanging="360"/>
      </w:pPr>
      <w:r>
        <w:rPr>
          <w:rFonts w:ascii="Arial" w:hAnsi="Arial" w:eastAsia="Arial"/>
          <w:color w:val="15171A"/>
          <w:sz w:val="22"/>
        </w:rPr>
        <w:t>Keep the ten supported theme families palette-driven and document their limits; do not allow custom layouts.</w:t>
      </w:r>
    </w:p>
    <w:p>
      <w:pPr>
        <w:pStyle w:val="ListBullet"/>
        <w:spacing w:after="80" w:line="290" w:lineRule="auto"/>
        <w:ind w:left="720" w:hanging="360"/>
      </w:pPr>
      <w:r>
        <w:rPr>
          <w:rFonts w:ascii="Arial" w:hAnsi="Arial" w:eastAsia="Arial"/>
          <w:color w:val="15171A"/>
          <w:sz w:val="22"/>
        </w:rPr>
        <w:t>Create a reusable editorial brief for release story, context, lyrics, and annotations.</w:t>
      </w:r>
    </w:p>
    <w:p>
      <w:pPr>
        <w:pStyle w:val="Heading2"/>
      </w:pPr>
      <w:r>
        <w:rPr>
          <w:rFonts w:ascii="Arial" w:hAnsi="Arial" w:eastAsia="Arial"/>
          <w:b w:val="0"/>
          <w:i w:val="0"/>
          <w:color w:val="15171A"/>
        </w:rPr>
        <w:t>Later - only after proof</w:t>
      </w:r>
    </w:p>
    <w:p>
      <w:pPr>
        <w:pStyle w:val="ListBullet"/>
        <w:spacing w:after="80" w:line="290" w:lineRule="auto"/>
        <w:ind w:left="720" w:hanging="360"/>
      </w:pPr>
      <w:r>
        <w:rPr>
          <w:rFonts w:ascii="Arial" w:hAnsi="Arial" w:eastAsia="Arial"/>
          <w:color w:val="15171A"/>
          <w:sz w:val="22"/>
        </w:rPr>
        <w:t>Add paid checkout or invoicing once two or more artists accept a real price.</w:t>
      </w:r>
    </w:p>
    <w:p>
      <w:pPr>
        <w:pStyle w:val="ListBullet"/>
        <w:spacing w:after="80" w:line="290" w:lineRule="auto"/>
        <w:ind w:left="720" w:hanging="360"/>
      </w:pPr>
      <w:r>
        <w:rPr>
          <w:rFonts w:ascii="Arial" w:hAnsi="Arial" w:eastAsia="Arial"/>
          <w:color w:val="15171A"/>
          <w:sz w:val="22"/>
        </w:rPr>
        <w:t>Add more editorial release pages and project features as paid work.</w:t>
      </w:r>
    </w:p>
    <w:p>
      <w:pPr>
        <w:pStyle w:val="ListBullet"/>
        <w:spacing w:after="80" w:line="290" w:lineRule="auto"/>
        <w:ind w:left="720" w:hanging="360"/>
      </w:pPr>
      <w:r>
        <w:rPr>
          <w:rFonts w:ascii="Arial" w:hAnsi="Arial" w:eastAsia="Arial"/>
          <w:color w:val="15171A"/>
          <w:sz w:val="22"/>
        </w:rPr>
        <w:t>Automate intake cleanup, link checks, and analytics reporting where it reduces labor.</w:t>
      </w:r>
    </w:p>
    <w:p>
      <w:pPr>
        <w:pStyle w:val="ListBullet"/>
        <w:spacing w:after="80" w:line="290" w:lineRule="auto"/>
        <w:ind w:left="720" w:hanging="360"/>
      </w:pPr>
      <w:r>
        <w:rPr>
          <w:rFonts w:ascii="Arial" w:hAnsi="Arial" w:eastAsia="Arial"/>
          <w:color w:val="15171A"/>
          <w:sz w:val="22"/>
        </w:rPr>
        <w:t>Consider artist accounts only if update requests become the dominant cost and artists actively ask for self-service.</w:t>
      </w:r>
    </w:p>
    <w:p>
      <w:pPr>
        <w:pStyle w:val="Heading2"/>
      </w:pPr>
      <w:r>
        <w:rPr>
          <w:rFonts w:ascii="Arial" w:hAnsi="Arial" w:eastAsia="Arial"/>
          <w:b w:val="0"/>
          <w:i w:val="0"/>
          <w:color w:val="15171A"/>
        </w:rPr>
        <w:t>Explicitly out of scope</w:t>
      </w:r>
    </w:p>
    <w:p>
      <w:r>
        <w:rPr>
          <w:rFonts w:ascii="Arial" w:hAnsi="Arial" w:eastAsia="Arial"/>
          <w:b w:val="0"/>
          <w:i w:val="0"/>
          <w:color w:val="15171A"/>
        </w:rPr>
        <w:t>Playlist placement, custom domains, drag-and-drop layouts, artist logins, subscriptions infrastructure, merchandise, distribution, fan CRM, ad campaign management, royalty tools, and a theme marketplace.</w:t>
      </w:r>
    </w:p>
    <w:p>
      <w:pPr>
        <w:pStyle w:val="Heading2"/>
      </w:pPr>
      <w:r>
        <w:rPr>
          <w:rFonts w:ascii="Arial" w:hAnsi="Arial" w:eastAsia="Arial"/>
          <w:b w:val="0"/>
          <w:i w:val="0"/>
          <w:color w:val="15171A"/>
        </w:rPr>
        <w:t>Key risks and controls</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2800"/>
        <w:gridCol w:w="6560"/>
      </w:tblGrid>
      <w:tr>
        <w:trPr>
          <w:tblHeader w:val="true"/>
        </w:trPr>
        <w:tc>
          <w:tcPr>
            <w:tcW w:type="dxa" w:w="280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Risk</w:t>
            </w:r>
          </w:p>
        </w:tc>
        <w:tc>
          <w:tcPr>
            <w:tcW w:type="dxa" w:w="6560"/>
            <w:shd w:fill="F7F1DF" w:val="clear"/>
            <w:vAlign w:val="center"/>
            <w:tcMar>
              <w:top w:w="100" w:type="dxa"/>
              <w:start w:w="120" w:type="dxa"/>
              <w:bottom w:w="100" w:type="dxa"/>
              <w:end w:w="120" w:type="dxa"/>
            </w:tcMar>
          </w:tcPr>
          <w:p>
            <w:pPr>
              <w:spacing w:after="0" w:line="252" w:lineRule="auto"/>
            </w:pPr>
            <w:r/>
            <w:r>
              <w:rPr>
                <w:rFonts w:ascii="Arial" w:hAnsi="Arial" w:eastAsia="Arial"/>
                <w:b/>
                <w:color w:val="765B1D"/>
                <w:sz w:val="18"/>
              </w:rPr>
              <w:t>Control</w:t>
            </w:r>
          </w:p>
        </w:tc>
      </w:tr>
      <w:tr>
        <w:tc>
          <w:tcPr>
            <w:tcW w:type="dxa" w:w="2800"/>
            <w:vAlign w:val="center"/>
            <w:tcMar>
              <w:top w:w="100" w:type="dxa"/>
              <w:start w:w="120" w:type="dxa"/>
              <w:bottom w:w="100" w:type="dxa"/>
              <w:end w:w="120" w:type="dxa"/>
            </w:tcMar>
          </w:tcPr>
          <w:p>
            <w:pPr>
              <w:spacing w:after="0" w:line="259" w:lineRule="auto"/>
            </w:pPr>
            <w:r/>
            <w:r>
              <w:rPr>
                <w:rFonts w:ascii="Arial" w:hAnsi="Arial" w:eastAsia="Arial"/>
                <w:color w:val="15171A"/>
                <w:sz w:val="18"/>
              </w:rPr>
              <w:t>The service becomes a low-priced agency</w:t>
            </w:r>
          </w:p>
        </w:tc>
        <w:tc>
          <w:tcPr>
            <w:tcW w:type="dxa" w:w="6560"/>
            <w:vAlign w:val="center"/>
            <w:tcMar>
              <w:top w:w="100" w:type="dxa"/>
              <w:start w:w="120" w:type="dxa"/>
              <w:bottom w:w="100" w:type="dxa"/>
              <w:end w:w="120" w:type="dxa"/>
            </w:tcMar>
          </w:tcPr>
          <w:p>
            <w:pPr>
              <w:spacing w:after="0" w:line="259" w:lineRule="auto"/>
            </w:pPr>
            <w:r/>
            <w:r>
              <w:rPr>
                <w:rFonts w:ascii="Arial" w:hAnsi="Arial" w:eastAsia="Arial"/>
                <w:color w:val="15171A"/>
                <w:sz w:val="18"/>
              </w:rPr>
              <w:t>Fixed deliverables, controlled themes, time tracking, paid out-of-scope work.</w:t>
            </w:r>
          </w:p>
        </w:tc>
      </w:tr>
      <w:tr>
        <w:tc>
          <w:tcPr>
            <w:tcW w:type="dxa" w:w="2800"/>
            <w:vAlign w:val="center"/>
            <w:tcMar>
              <w:top w:w="100" w:type="dxa"/>
              <w:start w:w="120" w:type="dxa"/>
              <w:bottom w:w="100" w:type="dxa"/>
              <w:end w:w="120" w:type="dxa"/>
            </w:tcMar>
          </w:tcPr>
          <w:p>
            <w:pPr>
              <w:spacing w:after="0" w:line="259" w:lineRule="auto"/>
            </w:pPr>
            <w:r/>
            <w:r>
              <w:rPr>
                <w:rFonts w:ascii="Arial" w:hAnsi="Arial" w:eastAsia="Arial"/>
                <w:color w:val="15171A"/>
                <w:sz w:val="18"/>
              </w:rPr>
              <w:t>Artists expect promotion</w:t>
            </w:r>
          </w:p>
        </w:tc>
        <w:tc>
          <w:tcPr>
            <w:tcW w:type="dxa" w:w="6560"/>
            <w:vAlign w:val="center"/>
            <w:tcMar>
              <w:top w:w="100" w:type="dxa"/>
              <w:start w:w="120" w:type="dxa"/>
              <w:bottom w:w="100" w:type="dxa"/>
              <w:end w:w="120" w:type="dxa"/>
            </w:tcMar>
          </w:tcPr>
          <w:p>
            <w:pPr>
              <w:spacing w:after="0" w:line="259" w:lineRule="auto"/>
            </w:pPr>
            <w:r/>
            <w:r>
              <w:rPr>
                <w:rFonts w:ascii="Arial" w:hAnsi="Arial" w:eastAsia="Arial"/>
                <w:color w:val="15171A"/>
                <w:sz w:val="18"/>
              </w:rPr>
              <w:t>Promise presentation and maintenance only; define promotion as a separate future service.</w:t>
            </w:r>
          </w:p>
        </w:tc>
      </w:tr>
      <w:tr>
        <w:tc>
          <w:tcPr>
            <w:tcW w:type="dxa" w:w="2800"/>
            <w:vAlign w:val="center"/>
            <w:tcMar>
              <w:top w:w="100" w:type="dxa"/>
              <w:start w:w="120" w:type="dxa"/>
              <w:bottom w:w="100" w:type="dxa"/>
              <w:end w:w="120" w:type="dxa"/>
            </w:tcMar>
          </w:tcPr>
          <w:p>
            <w:pPr>
              <w:spacing w:after="0" w:line="259" w:lineRule="auto"/>
            </w:pPr>
            <w:r/>
            <w:r>
              <w:rPr>
                <w:rFonts w:ascii="Arial" w:hAnsi="Arial" w:eastAsia="Arial"/>
                <w:color w:val="15171A"/>
                <w:sz w:val="18"/>
              </w:rPr>
              <w:t>Rights or factual errors</w:t>
            </w:r>
          </w:p>
        </w:tc>
        <w:tc>
          <w:tcPr>
            <w:tcW w:type="dxa" w:w="6560"/>
            <w:vAlign w:val="center"/>
            <w:tcMar>
              <w:top w:w="100" w:type="dxa"/>
              <w:start w:w="120" w:type="dxa"/>
              <w:bottom w:w="100" w:type="dxa"/>
              <w:end w:w="120" w:type="dxa"/>
            </w:tcMar>
          </w:tcPr>
          <w:p>
            <w:pPr>
              <w:spacing w:after="0" w:line="259" w:lineRule="auto"/>
            </w:pPr>
            <w:r/>
            <w:r>
              <w:rPr>
                <w:rFonts w:ascii="Arial" w:hAnsi="Arial" w:eastAsia="Arial"/>
                <w:color w:val="15171A"/>
                <w:sz w:val="18"/>
              </w:rPr>
              <w:t>Written permissions, preview snapshots, artist approval, fast pause/takedown process.</w:t>
            </w:r>
          </w:p>
        </w:tc>
      </w:tr>
      <w:tr>
        <w:tc>
          <w:tcPr>
            <w:tcW w:type="dxa" w:w="2800"/>
            <w:vAlign w:val="center"/>
            <w:tcMar>
              <w:top w:w="100" w:type="dxa"/>
              <w:start w:w="120" w:type="dxa"/>
              <w:bottom w:w="100" w:type="dxa"/>
              <w:end w:w="120" w:type="dxa"/>
            </w:tcMar>
          </w:tcPr>
          <w:p>
            <w:pPr>
              <w:spacing w:after="0" w:line="259" w:lineRule="auto"/>
            </w:pPr>
            <w:r/>
            <w:r>
              <w:rPr>
                <w:rFonts w:ascii="Arial" w:hAnsi="Arial" w:eastAsia="Arial"/>
                <w:color w:val="15171A"/>
                <w:sz w:val="18"/>
              </w:rPr>
              <w:t>Profiles attract little traffic</w:t>
            </w:r>
          </w:p>
        </w:tc>
        <w:tc>
          <w:tcPr>
            <w:tcW w:type="dxa" w:w="6560"/>
            <w:vAlign w:val="center"/>
            <w:tcMar>
              <w:top w:w="100" w:type="dxa"/>
              <w:start w:w="120" w:type="dxa"/>
              <w:bottom w:w="100" w:type="dxa"/>
              <w:end w:w="120" w:type="dxa"/>
            </w:tcMar>
          </w:tcPr>
          <w:p>
            <w:pPr>
              <w:spacing w:after="0" w:line="259" w:lineRule="auto"/>
            </w:pPr>
            <w:r/>
            <w:r>
              <w:rPr>
                <w:rFonts w:ascii="Arial" w:hAnsi="Arial" w:eastAsia="Arial"/>
                <w:color w:val="15171A"/>
                <w:sz w:val="18"/>
              </w:rPr>
              <w:t>Require a real two-week bio-link/share test; judge engagement rates as well as volume.</w:t>
            </w:r>
          </w:p>
        </w:tc>
      </w:tr>
      <w:tr>
        <w:tc>
          <w:tcPr>
            <w:tcW w:type="dxa" w:w="2800"/>
            <w:vAlign w:val="center"/>
            <w:tcMar>
              <w:top w:w="100" w:type="dxa"/>
              <w:start w:w="120" w:type="dxa"/>
              <w:bottom w:w="100" w:type="dxa"/>
              <w:end w:w="120" w:type="dxa"/>
            </w:tcMar>
          </w:tcPr>
          <w:p>
            <w:pPr>
              <w:spacing w:after="0" w:line="259" w:lineRule="auto"/>
            </w:pPr>
            <w:r/>
            <w:r>
              <w:rPr>
                <w:rFonts w:ascii="Arial" w:hAnsi="Arial" w:eastAsia="Arial"/>
                <w:color w:val="15171A"/>
                <w:sz w:val="18"/>
              </w:rPr>
              <w:t>Editorial production is too slow</w:t>
            </w:r>
          </w:p>
        </w:tc>
        <w:tc>
          <w:tcPr>
            <w:tcW w:type="dxa" w:w="6560"/>
            <w:vAlign w:val="center"/>
            <w:tcMar>
              <w:top w:w="100" w:type="dxa"/>
              <w:start w:w="120" w:type="dxa"/>
              <w:bottom w:w="100" w:type="dxa"/>
              <w:end w:w="120" w:type="dxa"/>
            </w:tcMar>
          </w:tcPr>
          <w:p>
            <w:pPr>
              <w:spacing w:after="0" w:line="259" w:lineRule="auto"/>
            </w:pPr>
            <w:r/>
            <w:r>
              <w:rPr>
                <w:rFonts w:ascii="Arial" w:hAnsi="Arial" w:eastAsia="Arial"/>
                <w:color w:val="15171A"/>
                <w:sz w:val="18"/>
              </w:rPr>
              <w:t>Limit the core to one release; use structured briefs and annotation caps.</w:t>
            </w:r>
          </w:p>
        </w:tc>
      </w:tr>
    </w:tbl>
    <w:p>
      <w:pPr>
        <w:spacing w:after="40"/>
      </w:pPr>
    </w:p>
    <w:p>
      <w:r>
        <w:br w:type="page"/>
      </w:r>
    </w:p>
    <w:p>
      <w:pPr>
        <w:pStyle w:val="Heading1"/>
      </w:pPr>
      <w:r>
        <w:rPr>
          <w:rFonts w:ascii="Arial" w:hAnsi="Arial" w:eastAsia="Arial"/>
          <w:b w:val="0"/>
          <w:i w:val="0"/>
          <w:color w:val="15171A"/>
        </w:rPr>
        <w:t>8. Ready-to-use pitch language</w:t>
      </w:r>
    </w:p>
    <w:p>
      <w:pPr>
        <w:pStyle w:val="Heading2"/>
      </w:pPr>
      <w:r>
        <w:rPr>
          <w:rFonts w:ascii="Arial" w:hAnsi="Arial" w:eastAsia="Arial"/>
          <w:b w:val="0"/>
          <w:i w:val="0"/>
          <w:color w:val="15171A"/>
        </w:rPr>
        <w:t>One-line positioning</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7F1DF" w:val="clear"/>
          </w:tcPr>
          <w:p>
            <w:pPr>
              <w:spacing w:before="40" w:after="40" w:line="276" w:lineRule="auto"/>
            </w:pPr>
            <w:r/>
            <w:r>
              <w:rPr>
                <w:rFonts w:ascii="Arial" w:hAnsi="Arial" w:eastAsia="Arial"/>
                <w:b/>
                <w:color w:val="765B1D"/>
                <w:sz w:val="18"/>
              </w:rPr>
              <w:t xml:space="preserve">POSITIONING  </w:t>
            </w:r>
            <w:r>
              <w:rPr>
                <w:rFonts w:ascii="Arial" w:hAnsi="Arial" w:eastAsia="Arial"/>
                <w:b/>
                <w:color w:val="15171A"/>
                <w:sz w:val="23"/>
              </w:rPr>
              <w:t>Artist Home is a managed, editorial home for independent artists who want a stronger public presence without another platform to operate.</w:t>
            </w:r>
          </w:p>
        </w:tc>
      </w:tr>
    </w:tbl>
    <w:p>
      <w:pPr>
        <w:spacing w:after="60"/>
      </w:pPr>
    </w:p>
    <w:p>
      <w:pPr>
        <w:pStyle w:val="Heading2"/>
      </w:pPr>
      <w:r>
        <w:rPr>
          <w:rFonts w:ascii="Arial" w:hAnsi="Arial" w:eastAsia="Arial"/>
          <w:b w:val="0"/>
          <w:i w:val="0"/>
          <w:color w:val="15171A"/>
        </w:rPr>
        <w:t>Artist-facing headline</w:t>
      </w:r>
    </w:p>
    <w:p>
      <w:pPr>
        <w:spacing w:after="100"/>
      </w:pPr>
      <w:r>
        <w:rPr>
          <w:rFonts w:ascii="Arial" w:hAnsi="Arial" w:eastAsia="Arial"/>
          <w:b/>
          <w:i w:val="0"/>
          <w:color w:val="15171A"/>
          <w:sz w:val="36"/>
        </w:rPr>
        <w:t>Your music deserves more than a stack of buttons.</w:t>
      </w:r>
    </w:p>
    <w:p>
      <w:r>
        <w:rPr>
          <w:rFonts w:ascii="Arial" w:hAnsi="Arial" w:eastAsia="Arial"/>
          <w:b w:val="0"/>
          <w:i w:val="0"/>
          <w:color w:val="15171A"/>
          <w:sz w:val="23"/>
        </w:rPr>
        <w:t>Send us your story, links, artwork, and three releases. We build and maintain your artist home, then turn the song you choose into a deeper release experience with context, lyrics, and Breaking Barz annotations.</w:t>
      </w:r>
    </w:p>
    <w:p>
      <w:pPr>
        <w:pStyle w:val="Heading2"/>
      </w:pPr>
      <w:r>
        <w:rPr>
          <w:rFonts w:ascii="Arial" w:hAnsi="Arial" w:eastAsia="Arial"/>
          <w:b w:val="0"/>
          <w:i w:val="0"/>
          <w:color w:val="15171A"/>
        </w:rPr>
        <w:t>Three proof points</w:t>
      </w:r>
    </w:p>
    <w:p>
      <w:pPr>
        <w:pStyle w:val="ListBullet"/>
        <w:spacing w:after="80" w:line="290" w:lineRule="auto"/>
        <w:ind w:left="720" w:hanging="360"/>
      </w:pPr>
      <w:r>
        <w:rPr>
          <w:rFonts w:ascii="Arial" w:hAnsi="Arial" w:eastAsia="Arial"/>
          <w:color w:val="15171A"/>
          <w:sz w:val="22"/>
        </w:rPr>
        <w:t>Done for you: choose a theme family, then avoid page builders, custom layout work, and dashboard maintenance.</w:t>
      </w:r>
    </w:p>
    <w:p>
      <w:pPr>
        <w:pStyle w:val="ListBullet"/>
        <w:spacing w:after="80" w:line="290" w:lineRule="auto"/>
        <w:ind w:left="720" w:hanging="360"/>
      </w:pPr>
      <w:r>
        <w:rPr>
          <w:rFonts w:ascii="Arial" w:hAnsi="Arial" w:eastAsia="Arial"/>
          <w:color w:val="15171A"/>
          <w:sz w:val="22"/>
        </w:rPr>
        <w:t>Built for understanding: one featured release gets real editorial depth, not just another streaming button.</w:t>
      </w:r>
    </w:p>
    <w:p>
      <w:pPr>
        <w:pStyle w:val="ListBullet"/>
        <w:spacing w:after="80" w:line="290" w:lineRule="auto"/>
        <w:ind w:left="720" w:hanging="360"/>
      </w:pPr>
      <w:r>
        <w:rPr>
          <w:rFonts w:ascii="Arial" w:hAnsi="Arial" w:eastAsia="Arial"/>
          <w:color w:val="15171A"/>
          <w:sz w:val="22"/>
        </w:rPr>
        <w:t>Published with permission: you review the exact version before it goes live and can request changes or takedown.</w:t>
      </w:r>
    </w:p>
    <w:p>
      <w:pPr>
        <w:pStyle w:val="Heading2"/>
      </w:pPr>
      <w:r>
        <w:rPr>
          <w:rFonts w:ascii="Arial" w:hAnsi="Arial" w:eastAsia="Arial"/>
          <w:b w:val="0"/>
          <w:i w:val="0"/>
          <w:color w:val="15171A"/>
        </w:rPr>
        <w:t>Short outreach version</w:t>
      </w:r>
    </w:p>
    <w:p>
      <w:r>
        <w:rPr>
          <w:rFonts w:ascii="Arial" w:hAnsi="Arial" w:eastAsia="Arial"/>
          <w:b w:val="0"/>
          <w:i/>
          <w:color w:val="262A30"/>
        </w:rPr>
        <w:t>I am testing a managed artist-home service for independent artists. You send rough notes, approved art, platform links, and three releases. I build the profile, polish the presentation, and develop one release into a deeper page with story, context, lyrics if you approve them, and Breaking Barz annotations. You review a private version before anything is published. The pilot is free; in return, I need honest feedback and a real two-week usage test.</w:t>
      </w:r>
    </w:p>
    <w:p>
      <w:pPr>
        <w:pStyle w:val="Heading2"/>
      </w:pPr>
      <w:r>
        <w:rPr>
          <w:rFonts w:ascii="Arial" w:hAnsi="Arial" w:eastAsia="Arial"/>
          <w:b w:val="0"/>
          <w:i w:val="0"/>
          <w:color w:val="15171A"/>
        </w:rPr>
        <w:t>Bottom line</w:t>
      </w:r>
    </w:p>
    <w:tbl>
      <w:tblPr>
        <w:tblW w:type="dxa" w:w="9360"/>
        <w:tblLayout w:type="fixed"/>
        <w:tblLook w:firstColumn="1" w:firstRow="1" w:lastColumn="0" w:lastRow="0" w:noHBand="0" w:noVBand="1" w:val="04A0"/>
        <w:tblInd w:w="120" w:type="dxa"/>
        <w:tblBorders>
          <w:top w:val="single" w:sz="6" w:space="0" w:color="E1E2DE"/>
          <w:left w:val="single" w:sz="6" w:space="0" w:color="E1E2DE"/>
          <w:bottom w:val="single" w:sz="6" w:space="0" w:color="E1E2DE"/>
          <w:right w:val="single" w:sz="6" w:space="0" w:color="E1E2DE"/>
          <w:insideH w:val="single" w:sz="6" w:space="0" w:color="E1E2DE"/>
          <w:insideV w:val="single" w:sz="6" w:space="0" w:color="E1E2DE"/>
        </w:tblBorders>
      </w:tblPr>
      <w:tblGrid>
        <w:gridCol w:w="9360"/>
      </w:tblGrid>
      <w:tr>
        <w:tc>
          <w:tcPr>
            <w:tcW w:type="dxa" w:w="9360"/>
            <w:vAlign w:val="center"/>
            <w:tcMar>
              <w:top w:w="100" w:type="dxa"/>
              <w:start w:w="120" w:type="dxa"/>
              <w:bottom w:w="100" w:type="dxa"/>
              <w:end w:w="120" w:type="dxa"/>
            </w:tcMar>
            <w:shd w:fill="F7F1DF" w:val="clear"/>
          </w:tcPr>
          <w:p>
            <w:pPr>
              <w:spacing w:before="40" w:after="40" w:line="276" w:lineRule="auto"/>
            </w:pPr>
            <w:r/>
            <w:r>
              <w:rPr>
                <w:rFonts w:ascii="Arial" w:hAnsi="Arial" w:eastAsia="Arial"/>
                <w:b/>
                <w:color w:val="2E6B50"/>
                <w:sz w:val="18"/>
              </w:rPr>
              <w:t xml:space="preserve">VERDICT  </w:t>
            </w:r>
            <w:r>
              <w:rPr>
                <w:rFonts w:ascii="Arial" w:hAnsi="Arial" w:eastAsia="Arial"/>
                <w:b/>
                <w:color w:val="15171A"/>
                <w:sz w:val="23"/>
              </w:rPr>
              <w:t>Worth building as a managed editorial service. Not worth expanding into a generic artist website or smart-link platform.</w:t>
            </w:r>
          </w:p>
        </w:tc>
      </w:tr>
    </w:tbl>
    <w:p>
      <w:pPr>
        <w:spacing w:after="60"/>
      </w:pPr>
    </w:p>
    <w:p>
      <w:pPr>
        <w:pStyle w:val="Heading2"/>
      </w:pPr>
      <w:r>
        <w:rPr>
          <w:rFonts w:ascii="Arial" w:hAnsi="Arial" w:eastAsia="Arial"/>
          <w:b w:val="0"/>
          <w:i w:val="0"/>
          <w:color w:val="15171A"/>
        </w:rPr>
        <w:t>Market sources</w:t>
      </w:r>
    </w:p>
    <w:p>
      <w:pPr>
        <w:pStyle w:val="ListNumber"/>
        <w:spacing w:after="60"/>
        <w:ind w:left="720" w:hanging="360"/>
      </w:pPr>
      <w:r>
        <w:rPr>
          <w:rFonts w:ascii="Arial" w:hAnsi="Arial" w:eastAsia="Arial"/>
          <w:color w:val="15171A"/>
          <w:sz w:val="18"/>
        </w:rPr>
        <w:t xml:space="preserve">Linktree pricing and product capabilities: </w:t>
      </w:r>
      <w:hyperlink r:id="rId13">
        <w:r>
          <w:rPr>
            <w:rFonts w:ascii="Arial" w:hAnsi="Arial"/>
            <w:color w:val="765B1D"/>
            <w:u w:val="single"/>
          </w:rPr>
          <w:t>https://linktr.ee/s/pricing</w:t>
        </w:r>
      </w:hyperlink>
    </w:p>
    <w:p>
      <w:pPr>
        <w:pStyle w:val="ListNumber"/>
        <w:spacing w:after="60"/>
        <w:ind w:left="720" w:hanging="360"/>
      </w:pPr>
      <w:r>
        <w:rPr>
          <w:rFonts w:ascii="Arial" w:hAnsi="Arial" w:eastAsia="Arial"/>
          <w:color w:val="15171A"/>
          <w:sz w:val="18"/>
        </w:rPr>
        <w:t xml:space="preserve">Beacons creator plans and platform capabilities: </w:t>
      </w:r>
      <w:hyperlink r:id="rId14">
        <w:r>
          <w:rPr>
            <w:rFonts w:ascii="Arial" w:hAnsi="Arial"/>
            <w:color w:val="765B1D"/>
            <w:u w:val="single"/>
          </w:rPr>
          <w:t>https://home.beacons.ai/plans</w:t>
        </w:r>
      </w:hyperlink>
    </w:p>
    <w:p>
      <w:pPr>
        <w:pStyle w:val="ListNumber"/>
        <w:spacing w:after="60"/>
        <w:ind w:left="720" w:hanging="360"/>
      </w:pPr>
      <w:r>
        <w:rPr>
          <w:rFonts w:ascii="Arial" w:hAnsi="Arial" w:eastAsia="Arial"/>
          <w:color w:val="15171A"/>
          <w:sz w:val="18"/>
        </w:rPr>
        <w:t xml:space="preserve">Feature.fm artist pricing and smart-link capabilities: </w:t>
      </w:r>
      <w:hyperlink r:id="rId15">
        <w:r>
          <w:rPr>
            <w:rFonts w:ascii="Arial" w:hAnsi="Arial"/>
            <w:color w:val="765B1D"/>
            <w:u w:val="single"/>
          </w:rPr>
          <w:t>https://www.feature.fm/pricing</w:t>
        </w:r>
      </w:hyperlink>
    </w:p>
    <w:p>
      <w:pPr>
        <w:pStyle w:val="ListNumber"/>
        <w:spacing w:after="60"/>
        <w:ind w:left="720" w:hanging="360"/>
      </w:pPr>
      <w:r>
        <w:rPr>
          <w:rFonts w:ascii="Arial" w:hAnsi="Arial" w:eastAsia="Arial"/>
          <w:color w:val="15171A"/>
          <w:sz w:val="18"/>
        </w:rPr>
        <w:t xml:space="preserve">Winamp for Artists plans: </w:t>
      </w:r>
      <w:hyperlink r:id="rId16">
        <w:r>
          <w:rPr>
            <w:rFonts w:ascii="Arial" w:hAnsi="Arial"/>
            <w:color w:val="765B1D"/>
            <w:u w:val="single"/>
          </w:rPr>
          <w:t>https://winamp.com/artists/pricing</w:t>
        </w:r>
      </w:hyperlink>
    </w:p>
    <w:p>
      <w:pPr>
        <w:pStyle w:val="ListNumber"/>
        <w:spacing w:after="60"/>
        <w:ind w:left="720" w:hanging="360"/>
      </w:pPr>
      <w:r>
        <w:rPr>
          <w:rFonts w:ascii="Arial" w:hAnsi="Arial" w:eastAsia="Arial"/>
          <w:color w:val="15171A"/>
          <w:sz w:val="18"/>
        </w:rPr>
        <w:t xml:space="preserve">Winamp Website Builder: </w:t>
      </w:r>
      <w:hyperlink r:id="rId17">
        <w:r>
          <w:rPr>
            <w:rFonts w:ascii="Arial" w:hAnsi="Arial"/>
            <w:color w:val="765B1D"/>
            <w:u w:val="single"/>
          </w:rPr>
          <w:t>https://winamp.com/artists/website-builder</w:t>
        </w:r>
      </w:hyperlink>
    </w:p>
    <w:p>
      <w:pPr>
        <w:spacing w:after="0"/>
      </w:pPr>
      <w:r>
        <w:rPr>
          <w:rFonts w:ascii="Arial" w:hAnsi="Arial" w:eastAsia="Arial"/>
          <w:b w:val="0"/>
          <w:i/>
          <w:color w:val="666B73"/>
          <w:sz w:val="17"/>
        </w:rPr>
        <w:t>Pricing and feature references were checked against official provider pages on July 28, 2026. Provider pricing and availability may change.</w:t>
      </w:r>
    </w:p>
    <w:sectPr w:rsidR="00FC693F" w:rsidRPr="0006063C" w:rsidSect="00034616">
      <w:headerReference w:type="default" r:id="rId9"/>
      <w:headerReference w:type="first" r:id="rId10"/>
      <w:footerReference w:type="default" r:id="rId11"/>
      <w:footerReference w:type="first" r:id="rId12"/>
      <w:pgSz w:w="12240" w:h="15840"/>
      <w:pgMar w:top="1123"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eastAsia="Arial"/>
        <w:color w:val="666B73"/>
        <w:sz w:val="17"/>
      </w:rPr>
      <w:t xml:space="preserve">vvviruz  |  July 2026  |  </w:t>
    </w:r>
    <w:r>
      <w:rPr>
        <w:rFonts w:ascii="Arial" w:hAnsi="Arial" w:eastAsia="Arial"/>
        <w:color w:val="666B73"/>
        <w:sz w:val="17"/>
      </w:rPr>
      <w:fldChar w:fldCharType="begin"/>
      <w:instrText xml:space="preserve">PAGE</w:instrText>
      <w:fldChar w:fldCharType="separate"/>
      <w:t>1</w:t>
      <w:fldChar w:fldCharType="end"/>
    </w:r>
    <w:r>
      <w:rPr>
        <w:rFonts w:ascii="Arial" w:hAnsi="Arial" w:eastAsia="Arial"/>
        <w:color w:val="666B73"/>
        <w:sz w:val="17"/>
      </w:rPr>
      <w:t xml:space="preserve"> / </w:t>
    </w:r>
    <w:r>
      <w:rPr>
        <w:rFonts w:ascii="Arial" w:hAnsi="Arial" w:eastAsia="Arial"/>
        <w:color w:val="666B73"/>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B73"/>
        <w:sz w:val="17"/>
      </w:rPr>
      <w:t>Prepared for pilot validation  |  July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E1E2DE"/>
      </w:pBdr>
    </w:pPr>
    <w:r>
      <w:rPr>
        <w:rFonts w:ascii="Arial" w:hAnsi="Arial" w:eastAsia="Arial"/>
        <w:b/>
        <w:color w:val="666B73"/>
        <w:sz w:val="17"/>
      </w:rPr>
      <w:t>ARTIST HOME  |  INTERNAL PITCH + SERVICE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Arial" w:hAnsi="Arial"/>
      <w:color w:val="1517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765B1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765B1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62A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80" w:line="290"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linktr.ee/s/pricing" TargetMode="External"/><Relationship Id="rId14" Type="http://schemas.openxmlformats.org/officeDocument/2006/relationships/hyperlink" Target="https://home.beacons.ai/plans" TargetMode="External"/><Relationship Id="rId15" Type="http://schemas.openxmlformats.org/officeDocument/2006/relationships/hyperlink" Target="https://www.feature.fm/pricing" TargetMode="External"/><Relationship Id="rId16" Type="http://schemas.openxmlformats.org/officeDocument/2006/relationships/hyperlink" Target="https://winamp.com/artists/pricing" TargetMode="External"/><Relationship Id="rId17" Type="http://schemas.openxmlformats.org/officeDocument/2006/relationships/hyperlink" Target="https://winamp.com/artists/websit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Home - Pitch and Service Blueprint</dc:title>
  <dc:subject>Managed editorial artist presence pilot and recommended service structure</dc:subject>
  <dc:creator>vvviruz</dc:creator>
  <cp:keywords>artist home, managed artist profiles, music editorial, service model</cp:keywords>
  <dc:description>generated by python-docx</dc:description>
  <cp:lastModifiedBy/>
  <cp:revision>1</cp:revision>
  <dcterms:created xsi:type="dcterms:W3CDTF">2013-12-23T23:15:00Z</dcterms:created>
  <dcterms:modified xsi:type="dcterms:W3CDTF">2013-12-23T23:15:00Z</dcterms:modified>
  <cp:category/>
</cp:coreProperties>
</file>