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6283C"/>
          <w:sz w:val="52"/>
        </w:rPr>
        <w:t>AIRIQ  ·  EXPLORATORY DATA ANALYSIS</w:t>
      </w:r>
    </w:p>
    <w:p>
      <w:r>
        <w:rPr>
          <w:rFonts w:ascii="Calibri" w:hAnsi="Calibri"/>
          <w:color w:val="2C7DA0"/>
          <w:sz w:val="28"/>
        </w:rPr>
        <w:t>Daily air quality across 26 Indian cities  ·  30 November 2020 – 25 May 2023</w:t>
      </w:r>
    </w:p>
    <w:p>
      <w:r>
        <w:rPr>
          <w:rFonts w:ascii="Calibri" w:hAnsi="Calibri"/>
          <w:color w:val="75879D"/>
          <w:sz w:val="19"/>
        </w:rPr>
        <w:t>23,504 daily readings  ·  8 pollutants  ·  CPCB NAAQS benchmarks  ·  Atmos Design System v1.1.0  ·  02 October 2026</w:t>
      </w:r>
    </w:p>
    <w:tbl>
      <w:tblPr>
        <w:tblW w:type="auto" w:w="0"/>
        <w:tblLook w:firstColumn="1" w:firstRow="1" w:lastColumn="0" w:lastRow="0" w:noHBand="0" w:noVBand="1" w:val="04A0"/>
      </w:tblPr>
      <w:tblGrid>
        <w:gridCol w:w="9936"/>
      </w:tblGrid>
      <w:tr>
        <w:trPr>
          <w:trHeight w:val="80"/>
        </w:trPr>
        <w:tc>
          <w:tcPr>
            <w:tcW w:type="dxa" w:w="9936"/>
            <w:shd w:val="clear" w:fill="2c7da0"/>
          </w:tcPr>
          <w:p>
            <w:r/>
          </w:p>
        </w:tc>
      </w:tr>
    </w:tbl>
    <w:p/>
    <w:p>
      <w:pPr>
        <w:pStyle w:val="Heading1"/>
      </w:pPr>
      <w:r>
        <w:rPr>
          <w:rFonts w:ascii="Calibri" w:hAnsi="Calibri"/>
          <w:color w:val="16283C"/>
        </w:rPr>
        <w:t>1.  Executive summary</w:t>
      </w:r>
    </w:p>
    <w:p>
      <w:pPr>
        <w:spacing w:after="120"/>
      </w:pPr>
      <w:r>
        <w:rPr>
          <w:rFonts w:ascii="Calibri" w:hAnsi="Calibri"/>
          <w:b w:val="0"/>
          <w:i w:val="0"/>
          <w:color w:val="42566C"/>
          <w:sz w:val="21"/>
        </w:rPr>
        <w:t>This report profiles the dataset behind the AirIQ dashboards: daily ambient air-quality readings from the CPCB continuous monitoring network, packaged inside Air_Pollution_Dashboard.twbx. Every number below is computed directly from that extract, so the report and the dashboards can never disagree. The dashboard's headline analytical window is the two complete years 2021–2022 (18,928 records); this analysis covers the full extract.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f2f5f9"/>
          </w:tcPr>
          <w:p>
            <w:r/>
            <w:r>
              <w:rPr>
                <w:rFonts w:ascii="Calibri" w:hAnsi="Calibri"/>
                <w:b/>
                <w:color w:val="75879D"/>
                <w:sz w:val="16"/>
              </w:rPr>
              <w:t>RECORDS ANALYSED</w:t>
            </w:r>
          </w:p>
          <w:p>
            <w:r>
              <w:rPr>
                <w:rFonts w:ascii="Calibri" w:hAnsi="Calibri"/>
                <w:b/>
                <w:color w:val="16283C"/>
                <w:sz w:val="32"/>
              </w:rPr>
              <w:t>23,504</w:t>
            </w:r>
          </w:p>
          <w:p>
            <w:r>
              <w:rPr>
                <w:rFonts w:ascii="Calibri" w:hAnsi="Calibri"/>
                <w:color w:val="75879D"/>
                <w:sz w:val="17"/>
              </w:rPr>
              <w:t>26 cities × 904 reporting days</w:t>
            </w:r>
          </w:p>
        </w:tc>
        <w:tc>
          <w:tcPr>
            <w:tcW w:type="dxa" w:w="3312"/>
            <w:shd w:val="clear" w:fill="f2f5f9"/>
          </w:tcPr>
          <w:p>
            <w:r/>
            <w:r>
              <w:rPr>
                <w:rFonts w:ascii="Calibri" w:hAnsi="Calibri"/>
                <w:b/>
                <w:color w:val="75879D"/>
                <w:sz w:val="16"/>
              </w:rPr>
              <w:t>UNHEALTHY DAYS</w:t>
            </w:r>
          </w:p>
          <w:p>
            <w:r>
              <w:rPr>
                <w:rFonts w:ascii="Calibri" w:hAnsi="Calibri"/>
                <w:b/>
                <w:color w:val="16283C"/>
                <w:sz w:val="32"/>
              </w:rPr>
              <w:t>71%</w:t>
            </w:r>
          </w:p>
          <w:p>
            <w:r>
              <w:rPr>
                <w:rFonts w:ascii="Calibri" w:hAnsi="Calibri"/>
                <w:color w:val="75879D"/>
                <w:sz w:val="17"/>
              </w:rPr>
              <w:t>share of city-days at AQI ≥ 4</w:t>
            </w:r>
          </w:p>
        </w:tc>
        <w:tc>
          <w:tcPr>
            <w:tcW w:type="dxa" w:w="3312"/>
            <w:shd w:val="clear" w:fill="f2f5f9"/>
          </w:tcPr>
          <w:p>
            <w:r/>
            <w:r>
              <w:rPr>
                <w:rFonts w:ascii="Calibri" w:hAnsi="Calibri"/>
                <w:b/>
                <w:color w:val="75879D"/>
                <w:sz w:val="16"/>
              </w:rPr>
              <w:t>PM2.5 EXCEEDANCE</w:t>
            </w:r>
          </w:p>
          <w:p>
            <w:r>
              <w:rPr>
                <w:rFonts w:ascii="Calibri" w:hAnsi="Calibri"/>
                <w:b/>
                <w:color w:val="16283C"/>
                <w:sz w:val="32"/>
              </w:rPr>
              <w:t>49%</w:t>
            </w:r>
          </w:p>
          <w:p>
            <w:r>
              <w:rPr>
                <w:rFonts w:ascii="Calibri" w:hAnsi="Calibri"/>
                <w:color w:val="75879D"/>
                <w:sz w:val="17"/>
              </w:rPr>
              <w:t>days above the 24-h NAAQS limit</w:t>
            </w:r>
          </w:p>
        </w:tc>
      </w:tr>
      <w:tr>
        <w:tc>
          <w:tcPr>
            <w:tcW w:type="dxa" w:w="3312"/>
            <w:shd w:val="clear" w:fill="f2f5f9"/>
          </w:tcPr>
          <w:p>
            <w:r/>
            <w:r>
              <w:rPr>
                <w:rFonts w:ascii="Calibri" w:hAnsi="Calibri"/>
                <w:b/>
                <w:color w:val="75879D"/>
                <w:sz w:val="16"/>
              </w:rPr>
              <w:t>WORST · BEST CITY</w:t>
            </w:r>
          </w:p>
          <w:p>
            <w:r>
              <w:rPr>
                <w:rFonts w:ascii="Calibri" w:hAnsi="Calibri"/>
                <w:b/>
                <w:color w:val="16283C"/>
                <w:sz w:val="32"/>
              </w:rPr>
              <w:t>Delhi · Aizawl</w:t>
            </w:r>
          </w:p>
          <w:p>
            <w:r>
              <w:rPr>
                <w:rFonts w:ascii="Calibri" w:hAnsi="Calibri"/>
                <w:color w:val="75879D"/>
                <w:sz w:val="17"/>
              </w:rPr>
              <w:t>avg AQI 4.81 vs 2.78</w:t>
            </w:r>
          </w:p>
        </w:tc>
        <w:tc>
          <w:tcPr>
            <w:tcW w:type="dxa" w:w="3312"/>
            <w:shd w:val="clear" w:fill="f2f5f9"/>
          </w:tcPr>
          <w:p>
            <w:r/>
            <w:r>
              <w:rPr>
                <w:rFonts w:ascii="Calibri" w:hAnsi="Calibri"/>
                <w:b/>
                <w:color w:val="75879D"/>
                <w:sz w:val="16"/>
              </w:rPr>
              <w:t>PEAK SEASON</w:t>
            </w:r>
          </w:p>
          <w:p>
            <w:r>
              <w:rPr>
                <w:rFonts w:ascii="Calibri" w:hAnsi="Calibri"/>
                <w:b/>
                <w:color w:val="16283C"/>
                <w:sz w:val="32"/>
              </w:rPr>
              <w:t>Winter</w:t>
            </w:r>
          </w:p>
          <w:p>
            <w:r>
              <w:rPr>
                <w:rFonts w:ascii="Calibri" w:hAnsi="Calibri"/>
                <w:color w:val="75879D"/>
                <w:sz w:val="17"/>
              </w:rPr>
              <w:t>every city peaks Nov – Mar</w:t>
            </w:r>
          </w:p>
        </w:tc>
        <w:tc>
          <w:tcPr>
            <w:tcW w:type="dxa" w:w="3312"/>
            <w:shd w:val="clear" w:fill="f2f5f9"/>
          </w:tcPr>
          <w:p>
            <w:r/>
            <w:r>
              <w:rPr>
                <w:rFonts w:ascii="Calibri" w:hAnsi="Calibri"/>
                <w:b/>
                <w:color w:val="75879D"/>
                <w:sz w:val="16"/>
              </w:rPr>
              <w:t>YOY CHANGE 2021→22</w:t>
            </w:r>
          </w:p>
          <w:p>
            <w:r>
              <w:rPr>
                <w:rFonts w:ascii="Calibri" w:hAnsi="Calibri"/>
                <w:b/>
                <w:color w:val="16283C"/>
                <w:sz w:val="32"/>
              </w:rPr>
              <w:t>-0.9%</w:t>
            </w:r>
          </w:p>
          <w:p>
            <w:r>
              <w:rPr>
                <w:rFonts w:ascii="Calibri" w:hAnsi="Calibri"/>
                <w:color w:val="75879D"/>
                <w:sz w:val="17"/>
              </w:rPr>
              <w:t>national avg AQI 3.89 → 3.86</w:t>
            </w:r>
          </w:p>
        </w:tc>
      </w:tr>
    </w:tbl>
    <w:p/>
    <w:p>
      <w:pPr>
        <w:pStyle w:val="ListBullet"/>
      </w:pPr>
      <w:r>
        <w:rPr>
          <w:rFonts w:ascii="Calibri" w:hAnsi="Calibri"/>
          <w:b/>
          <w:color w:val="16283C"/>
          <w:sz w:val="21"/>
        </w:rPr>
        <w:t xml:space="preserve">Air is unhealthy most of the time.  </w:t>
      </w:r>
      <w:r>
        <w:rPr>
          <w:rFonts w:ascii="Calibri" w:hAnsi="Calibri"/>
          <w:color w:val="42566C"/>
          <w:sz w:val="21"/>
        </w:rPr>
        <w:t>71% of all city-days sit at AQI ≥ 4, and 53% fall in the worst category (5). Clean-air days are the exception, not the rule.</w:t>
      </w:r>
    </w:p>
    <w:p>
      <w:pPr>
        <w:pStyle w:val="ListBullet"/>
      </w:pPr>
      <w:r>
        <w:rPr>
          <w:rFonts w:ascii="Calibri" w:hAnsi="Calibri"/>
          <w:b/>
          <w:color w:val="16283C"/>
          <w:sz w:val="21"/>
        </w:rPr>
        <w:t xml:space="preserve">A north-Indian pollution belt stands out.  </w:t>
      </w:r>
      <w:r>
        <w:rPr>
          <w:rFonts w:ascii="Calibri" w:hAnsi="Calibri"/>
          <w:color w:val="42566C"/>
          <w:sz w:val="21"/>
        </w:rPr>
        <w:t>Delhi, Jorapokhar, Amritsar, Patna and Lucknow average AQI 4.7+ with roughly 95% unhealthy days, while Aizawl, Coimbatore, Kochi, Ernakulam and Bengaluru stay near 2.9.</w:t>
      </w:r>
    </w:p>
    <w:p>
      <w:pPr>
        <w:pStyle w:val="ListBullet"/>
      </w:pPr>
      <w:r>
        <w:rPr>
          <w:rFonts w:ascii="Calibri" w:hAnsi="Calibri"/>
          <w:b/>
          <w:color w:val="16283C"/>
          <w:sz w:val="21"/>
        </w:rPr>
        <w:t xml:space="preserve">Particulates are the binding constraint.  </w:t>
      </w:r>
      <w:r>
        <w:rPr>
          <w:rFonts w:ascii="Calibri" w:hAnsi="Calibri"/>
          <w:color w:val="42566C"/>
          <w:sz w:val="21"/>
        </w:rPr>
        <w:t>PM2.5 exceeds its 24-hour NAAQS limit on roughly half of all days and PM10 on two of five; every other pollutant is compliant on 96%+ of days. Mean PM2.5 runs at ~2.3× the annual limit.</w:t>
      </w:r>
    </w:p>
    <w:p>
      <w:pPr>
        <w:pStyle w:val="ListBullet"/>
      </w:pPr>
      <w:r>
        <w:rPr>
          <w:rFonts w:ascii="Calibri" w:hAnsi="Calibri"/>
          <w:b/>
          <w:color w:val="16283C"/>
          <w:sz w:val="21"/>
        </w:rPr>
        <w:t xml:space="preserve">Seasonality is strong and consistent.  </w:t>
      </w:r>
      <w:r>
        <w:rPr>
          <w:rFonts w:ascii="Calibri" w:hAnsi="Calibri"/>
          <w:color w:val="42566C"/>
          <w:sz w:val="21"/>
        </w:rPr>
        <w:t>The national average climbs from a monsoon trough near 2.8 (Jul–Aug) to winter peaks above 4.7 (Nov–Feb); all 26 cities peak between November and March.</w:t>
      </w:r>
    </w:p>
    <w:p>
      <w:pPr>
        <w:pStyle w:val="ListBullet"/>
      </w:pPr>
      <w:r>
        <w:rPr>
          <w:rFonts w:ascii="Calibri" w:hAnsi="Calibri"/>
          <w:b/>
          <w:color w:val="16283C"/>
          <w:sz w:val="21"/>
        </w:rPr>
        <w:t xml:space="preserve">Year-over-year, air barely improved.  </w:t>
      </w:r>
      <w:r>
        <w:rPr>
          <w:rFonts w:ascii="Calibri" w:hAnsi="Calibri"/>
          <w:color w:val="42566C"/>
          <w:sz w:val="21"/>
        </w:rPr>
        <w:t>National average AQI moved 3.89 → 3.86 (-0.9%) between the two complete years — structurally flat.</w:t>
      </w:r>
    </w:p>
    <w:p>
      <w:pPr>
        <w:pStyle w:val="ListBullet"/>
      </w:pPr>
      <w:r>
        <w:rPr>
          <w:rFonts w:ascii="Calibri" w:hAnsi="Calibri"/>
          <w:b/>
          <w:color w:val="16283C"/>
          <w:sz w:val="21"/>
        </w:rPr>
        <w:t xml:space="preserve">Data quality is excellent.  </w:t>
      </w:r>
      <w:r>
        <w:rPr>
          <w:rFonts w:ascii="Calibri" w:hAnsi="Calibri"/>
          <w:color w:val="42566C"/>
          <w:sz w:val="21"/>
        </w:rPr>
        <w:t>26 cities × 904 days with zero nulls and zero duplicates; only 3 calendar days are absent from the entire network.</w:t>
      </w:r>
    </w:p>
    <w:p>
      <w:r>
        <w:br w:type="page"/>
      </w:r>
    </w:p>
    <w:p>
      <w:pPr>
        <w:pStyle w:val="Heading1"/>
      </w:pPr>
      <w:r>
        <w:rPr>
          <w:rFonts w:ascii="Calibri" w:hAnsi="Calibri"/>
          <w:color w:val="16283C"/>
        </w:rPr>
        <w:t>2.  Dataset &amp; data quality</w:t>
      </w:r>
    </w:p>
    <w:p>
      <w:pPr>
        <w:spacing w:after="120"/>
      </w:pPr>
      <w:r>
        <w:rPr>
          <w:rFonts w:ascii="Calibri" w:hAnsi="Calibri"/>
          <w:b w:val="0"/>
          <w:i w:val="0"/>
          <w:color w:val="42566C"/>
          <w:sz w:val="21"/>
        </w:rPr>
        <w:t>The extract is a tidy daily panel: one row per city per day, an ordinal AQI index, and daily mean concentrations for eight pollutants. The AQI is a 1–5 category scale (1 = best, 5 = worst); the workbook classes days at AQI ≥ 4 as unhealthy and bins city averages into Low (≤ 3.3), Moderate (≤ 4.2) and High.</w:t>
      </w:r>
    </w:p>
    <w:tbl>
      <w:tblPr>
        <w:tblStyle w:val="TableGrid"/>
        <w:tblW w:type="auto" w:w="0"/>
        <w:jc w:val="center"/>
        <w:tblLook w:firstColumn="1" w:firstRow="1" w:lastColumn="0" w:lastRow="0" w:noHBand="0" w:noVBand="1" w:val="04A0"/>
      </w:tblPr>
      <w:tblGrid>
        <w:gridCol w:w="3312"/>
        <w:gridCol w:w="3312"/>
        <w:gridCol w:w="3312"/>
      </w:tblGrid>
      <w:tr>
        <w:tc>
          <w:tcPr>
            <w:tcW w:type="dxa" w:w="1152"/>
            <w:shd w:val="clear" w:fill="16283c"/>
          </w:tcPr>
          <w:p>
            <w:r/>
            <w:r>
              <w:rPr>
                <w:rFonts w:ascii="Calibri" w:hAnsi="Calibri"/>
                <w:b/>
                <w:color w:val="FFFFFF"/>
                <w:sz w:val="19"/>
              </w:rPr>
              <w:t>Field</w:t>
            </w:r>
          </w:p>
        </w:tc>
        <w:tc>
          <w:tcPr>
            <w:tcW w:type="dxa" w:w="1152"/>
            <w:shd w:val="clear" w:fill="16283c"/>
          </w:tcPr>
          <w:p>
            <w:r/>
            <w:r>
              <w:rPr>
                <w:rFonts w:ascii="Calibri" w:hAnsi="Calibri"/>
                <w:b/>
                <w:color w:val="FFFFFF"/>
                <w:sz w:val="19"/>
              </w:rPr>
              <w:t>Type</w:t>
            </w:r>
          </w:p>
        </w:tc>
        <w:tc>
          <w:tcPr>
            <w:tcW w:type="dxa" w:w="7632"/>
            <w:shd w:val="clear" w:fill="16283c"/>
          </w:tcPr>
          <w:p>
            <w:r/>
            <w:r>
              <w:rPr>
                <w:rFonts w:ascii="Calibri" w:hAnsi="Calibri"/>
                <w:b/>
                <w:color w:val="FFFFFF"/>
                <w:sz w:val="19"/>
              </w:rPr>
              <w:t>Description</w:t>
            </w:r>
          </w:p>
        </w:tc>
      </w:tr>
      <w:tr>
        <w:tc>
          <w:tcPr>
            <w:tcW w:type="dxa" w:w="1152"/>
            <w:shd w:val="clear" w:fill="ffffff"/>
          </w:tcPr>
          <w:p>
            <w:r/>
            <w:r>
              <w:rPr>
                <w:rFonts w:ascii="Calibri" w:hAnsi="Calibri"/>
                <w:b w:val="0"/>
                <w:color w:val="42566C"/>
                <w:sz w:val="19"/>
              </w:rPr>
              <w:t>city</w:t>
            </w:r>
          </w:p>
        </w:tc>
        <w:tc>
          <w:tcPr>
            <w:tcW w:type="dxa" w:w="1152"/>
            <w:shd w:val="clear" w:fill="ffffff"/>
          </w:tcPr>
          <w:p>
            <w:r/>
            <w:r>
              <w:rPr>
                <w:rFonts w:ascii="Calibri" w:hAnsi="Calibri"/>
                <w:b w:val="0"/>
                <w:color w:val="42566C"/>
                <w:sz w:val="19"/>
              </w:rPr>
              <w:t>Text</w:t>
            </w:r>
          </w:p>
        </w:tc>
        <w:tc>
          <w:tcPr>
            <w:tcW w:type="dxa" w:w="7632"/>
            <w:shd w:val="clear" w:fill="ffffff"/>
          </w:tcPr>
          <w:p>
            <w:r/>
            <w:r>
              <w:rPr>
                <w:rFonts w:ascii="Calibri" w:hAnsi="Calibri"/>
                <w:b w:val="0"/>
                <w:color w:val="42566C"/>
                <w:sz w:val="19"/>
              </w:rPr>
              <w:t>Monitoring city — 26 stations across India</w:t>
            </w:r>
          </w:p>
        </w:tc>
      </w:tr>
      <w:tr>
        <w:tc>
          <w:tcPr>
            <w:tcW w:type="dxa" w:w="1152"/>
            <w:shd w:val="clear" w:fill="f2f5f9"/>
          </w:tcPr>
          <w:p>
            <w:r/>
            <w:r>
              <w:rPr>
                <w:rFonts w:ascii="Calibri" w:hAnsi="Calibri"/>
                <w:b w:val="0"/>
                <w:color w:val="42566C"/>
                <w:sz w:val="19"/>
              </w:rPr>
              <w:t>date</w:t>
            </w:r>
          </w:p>
        </w:tc>
        <w:tc>
          <w:tcPr>
            <w:tcW w:type="dxa" w:w="1152"/>
            <w:shd w:val="clear" w:fill="f2f5f9"/>
          </w:tcPr>
          <w:p>
            <w:r/>
            <w:r>
              <w:rPr>
                <w:rFonts w:ascii="Calibri" w:hAnsi="Calibri"/>
                <w:b w:val="0"/>
                <w:color w:val="42566C"/>
                <w:sz w:val="19"/>
              </w:rPr>
              <w:t>Date</w:t>
            </w:r>
          </w:p>
        </w:tc>
        <w:tc>
          <w:tcPr>
            <w:tcW w:type="dxa" w:w="7632"/>
            <w:shd w:val="clear" w:fill="f2f5f9"/>
          </w:tcPr>
          <w:p>
            <w:r/>
            <w:r>
              <w:rPr>
                <w:rFonts w:ascii="Calibri" w:hAnsi="Calibri"/>
                <w:b w:val="0"/>
                <w:color w:val="42566C"/>
                <w:sz w:val="19"/>
              </w:rPr>
              <w:t>Calendar day, 30 Nov 2020 → 25 May 2023</w:t>
            </w:r>
          </w:p>
        </w:tc>
      </w:tr>
      <w:tr>
        <w:tc>
          <w:tcPr>
            <w:tcW w:type="dxa" w:w="1152"/>
            <w:shd w:val="clear" w:fill="ffffff"/>
          </w:tcPr>
          <w:p>
            <w:r/>
            <w:r>
              <w:rPr>
                <w:rFonts w:ascii="Calibri" w:hAnsi="Calibri"/>
                <w:b w:val="0"/>
                <w:color w:val="42566C"/>
                <w:sz w:val="19"/>
              </w:rPr>
              <w:t>aqi</w:t>
            </w:r>
          </w:p>
        </w:tc>
        <w:tc>
          <w:tcPr>
            <w:tcW w:type="dxa" w:w="1152"/>
            <w:shd w:val="clear" w:fill="ffffff"/>
          </w:tcPr>
          <w:p>
            <w:r/>
            <w:r>
              <w:rPr>
                <w:rFonts w:ascii="Calibri" w:hAnsi="Calibri"/>
                <w:b w:val="0"/>
                <w:color w:val="42566C"/>
                <w:sz w:val="19"/>
              </w:rPr>
              <w:t>Integer</w:t>
            </w:r>
          </w:p>
        </w:tc>
        <w:tc>
          <w:tcPr>
            <w:tcW w:type="dxa" w:w="7632"/>
            <w:shd w:val="clear" w:fill="ffffff"/>
          </w:tcPr>
          <w:p>
            <w:r/>
            <w:r>
              <w:rPr>
                <w:rFonts w:ascii="Calibri" w:hAnsi="Calibri"/>
                <w:b w:val="0"/>
                <w:color w:val="42566C"/>
                <w:sz w:val="19"/>
              </w:rPr>
              <w:t>Ordinal air-quality index, 1 (best) → 5 (worst); ≥ 4 = unhealthy day</w:t>
            </w:r>
          </w:p>
        </w:tc>
      </w:tr>
      <w:tr>
        <w:tc>
          <w:tcPr>
            <w:tcW w:type="dxa" w:w="1152"/>
            <w:shd w:val="clear" w:fill="f2f5f9"/>
          </w:tcPr>
          <w:p>
            <w:r/>
            <w:r>
              <w:rPr>
                <w:rFonts w:ascii="Calibri" w:hAnsi="Calibri"/>
                <w:b w:val="0"/>
                <w:color w:val="42566C"/>
                <w:sz w:val="19"/>
              </w:rPr>
              <w:t>co</w:t>
            </w:r>
          </w:p>
        </w:tc>
        <w:tc>
          <w:tcPr>
            <w:tcW w:type="dxa" w:w="1152"/>
            <w:shd w:val="clear" w:fill="f2f5f9"/>
          </w:tcPr>
          <w:p>
            <w:r/>
            <w:r>
              <w:rPr>
                <w:rFonts w:ascii="Calibri" w:hAnsi="Calibri"/>
                <w:b w:val="0"/>
                <w:color w:val="42566C"/>
                <w:sz w:val="19"/>
              </w:rPr>
              <w:t>Number</w:t>
            </w:r>
          </w:p>
        </w:tc>
        <w:tc>
          <w:tcPr>
            <w:tcW w:type="dxa" w:w="7632"/>
            <w:shd w:val="clear" w:fill="f2f5f9"/>
          </w:tcPr>
          <w:p>
            <w:r/>
            <w:r>
              <w:rPr>
                <w:rFonts w:ascii="Calibri" w:hAnsi="Calibri"/>
                <w:b w:val="0"/>
                <w:color w:val="42566C"/>
                <w:sz w:val="19"/>
              </w:rPr>
              <w:t>Daily mean carbon monoxide concentration</w:t>
            </w:r>
          </w:p>
        </w:tc>
      </w:tr>
      <w:tr>
        <w:tc>
          <w:tcPr>
            <w:tcW w:type="dxa" w:w="1152"/>
            <w:shd w:val="clear" w:fill="ffffff"/>
          </w:tcPr>
          <w:p>
            <w:r/>
            <w:r>
              <w:rPr>
                <w:rFonts w:ascii="Calibri" w:hAnsi="Calibri"/>
                <w:b w:val="0"/>
                <w:color w:val="42566C"/>
                <w:sz w:val="19"/>
              </w:rPr>
              <w:t>no</w:t>
            </w:r>
          </w:p>
        </w:tc>
        <w:tc>
          <w:tcPr>
            <w:tcW w:type="dxa" w:w="1152"/>
            <w:shd w:val="clear" w:fill="ffffff"/>
          </w:tcPr>
          <w:p>
            <w:r/>
            <w:r>
              <w:rPr>
                <w:rFonts w:ascii="Calibri" w:hAnsi="Calibri"/>
                <w:b w:val="0"/>
                <w:color w:val="42566C"/>
                <w:sz w:val="19"/>
              </w:rPr>
              <w:t>Number</w:t>
            </w:r>
          </w:p>
        </w:tc>
        <w:tc>
          <w:tcPr>
            <w:tcW w:type="dxa" w:w="7632"/>
            <w:shd w:val="clear" w:fill="ffffff"/>
          </w:tcPr>
          <w:p>
            <w:r/>
            <w:r>
              <w:rPr>
                <w:rFonts w:ascii="Calibri" w:hAnsi="Calibri"/>
                <w:b w:val="0"/>
                <w:color w:val="42566C"/>
                <w:sz w:val="19"/>
              </w:rPr>
              <w:t>Daily mean nitric oxide concentration</w:t>
            </w:r>
          </w:p>
        </w:tc>
      </w:tr>
      <w:tr>
        <w:tc>
          <w:tcPr>
            <w:tcW w:type="dxa" w:w="1152"/>
            <w:shd w:val="clear" w:fill="f2f5f9"/>
          </w:tcPr>
          <w:p>
            <w:r/>
            <w:r>
              <w:rPr>
                <w:rFonts w:ascii="Calibri" w:hAnsi="Calibri"/>
                <w:b w:val="0"/>
                <w:color w:val="42566C"/>
                <w:sz w:val="19"/>
              </w:rPr>
              <w:t>no2</w:t>
            </w:r>
          </w:p>
        </w:tc>
        <w:tc>
          <w:tcPr>
            <w:tcW w:type="dxa" w:w="1152"/>
            <w:shd w:val="clear" w:fill="f2f5f9"/>
          </w:tcPr>
          <w:p>
            <w:r/>
            <w:r>
              <w:rPr>
                <w:rFonts w:ascii="Calibri" w:hAnsi="Calibri"/>
                <w:b w:val="0"/>
                <w:color w:val="42566C"/>
                <w:sz w:val="19"/>
              </w:rPr>
              <w:t>Number</w:t>
            </w:r>
          </w:p>
        </w:tc>
        <w:tc>
          <w:tcPr>
            <w:tcW w:type="dxa" w:w="7632"/>
            <w:shd w:val="clear" w:fill="f2f5f9"/>
          </w:tcPr>
          <w:p>
            <w:r/>
            <w:r>
              <w:rPr>
                <w:rFonts w:ascii="Calibri" w:hAnsi="Calibri"/>
                <w:b w:val="0"/>
                <w:color w:val="42566C"/>
                <w:sz w:val="19"/>
              </w:rPr>
              <w:t>Daily mean nitrogen dioxide concentration</w:t>
            </w:r>
          </w:p>
        </w:tc>
      </w:tr>
      <w:tr>
        <w:tc>
          <w:tcPr>
            <w:tcW w:type="dxa" w:w="1152"/>
            <w:shd w:val="clear" w:fill="ffffff"/>
          </w:tcPr>
          <w:p>
            <w:r/>
            <w:r>
              <w:rPr>
                <w:rFonts w:ascii="Calibri" w:hAnsi="Calibri"/>
                <w:b w:val="0"/>
                <w:color w:val="42566C"/>
                <w:sz w:val="19"/>
              </w:rPr>
              <w:t>o3</w:t>
            </w:r>
          </w:p>
        </w:tc>
        <w:tc>
          <w:tcPr>
            <w:tcW w:type="dxa" w:w="1152"/>
            <w:shd w:val="clear" w:fill="ffffff"/>
          </w:tcPr>
          <w:p>
            <w:r/>
            <w:r>
              <w:rPr>
                <w:rFonts w:ascii="Calibri" w:hAnsi="Calibri"/>
                <w:b w:val="0"/>
                <w:color w:val="42566C"/>
                <w:sz w:val="19"/>
              </w:rPr>
              <w:t>Number</w:t>
            </w:r>
          </w:p>
        </w:tc>
        <w:tc>
          <w:tcPr>
            <w:tcW w:type="dxa" w:w="7632"/>
            <w:shd w:val="clear" w:fill="ffffff"/>
          </w:tcPr>
          <w:p>
            <w:r/>
            <w:r>
              <w:rPr>
                <w:rFonts w:ascii="Calibri" w:hAnsi="Calibri"/>
                <w:b w:val="0"/>
                <w:color w:val="42566C"/>
                <w:sz w:val="19"/>
              </w:rPr>
              <w:t>Daily mean ground-level ozone concentration</w:t>
            </w:r>
          </w:p>
        </w:tc>
      </w:tr>
      <w:tr>
        <w:tc>
          <w:tcPr>
            <w:tcW w:type="dxa" w:w="1152"/>
            <w:shd w:val="clear" w:fill="f2f5f9"/>
          </w:tcPr>
          <w:p>
            <w:r/>
            <w:r>
              <w:rPr>
                <w:rFonts w:ascii="Calibri" w:hAnsi="Calibri"/>
                <w:b w:val="0"/>
                <w:color w:val="42566C"/>
                <w:sz w:val="19"/>
              </w:rPr>
              <w:t>so2</w:t>
            </w:r>
          </w:p>
        </w:tc>
        <w:tc>
          <w:tcPr>
            <w:tcW w:type="dxa" w:w="1152"/>
            <w:shd w:val="clear" w:fill="f2f5f9"/>
          </w:tcPr>
          <w:p>
            <w:r/>
            <w:r>
              <w:rPr>
                <w:rFonts w:ascii="Calibri" w:hAnsi="Calibri"/>
                <w:b w:val="0"/>
                <w:color w:val="42566C"/>
                <w:sz w:val="19"/>
              </w:rPr>
              <w:t>Number</w:t>
            </w:r>
          </w:p>
        </w:tc>
        <w:tc>
          <w:tcPr>
            <w:tcW w:type="dxa" w:w="7632"/>
            <w:shd w:val="clear" w:fill="f2f5f9"/>
          </w:tcPr>
          <w:p>
            <w:r/>
            <w:r>
              <w:rPr>
                <w:rFonts w:ascii="Calibri" w:hAnsi="Calibri"/>
                <w:b w:val="0"/>
                <w:color w:val="42566C"/>
                <w:sz w:val="19"/>
              </w:rPr>
              <w:t>Daily mean sulphur dioxide concentration</w:t>
            </w:r>
          </w:p>
        </w:tc>
      </w:tr>
      <w:tr>
        <w:tc>
          <w:tcPr>
            <w:tcW w:type="dxa" w:w="1152"/>
            <w:shd w:val="clear" w:fill="ffffff"/>
          </w:tcPr>
          <w:p>
            <w:r/>
            <w:r>
              <w:rPr>
                <w:rFonts w:ascii="Calibri" w:hAnsi="Calibri"/>
                <w:b w:val="0"/>
                <w:color w:val="42566C"/>
                <w:sz w:val="19"/>
              </w:rPr>
              <w:t>pm2_5</w:t>
            </w:r>
          </w:p>
        </w:tc>
        <w:tc>
          <w:tcPr>
            <w:tcW w:type="dxa" w:w="1152"/>
            <w:shd w:val="clear" w:fill="ffffff"/>
          </w:tcPr>
          <w:p>
            <w:r/>
            <w:r>
              <w:rPr>
                <w:rFonts w:ascii="Calibri" w:hAnsi="Calibri"/>
                <w:b w:val="0"/>
                <w:color w:val="42566C"/>
                <w:sz w:val="19"/>
              </w:rPr>
              <w:t>Number</w:t>
            </w:r>
          </w:p>
        </w:tc>
        <w:tc>
          <w:tcPr>
            <w:tcW w:type="dxa" w:w="7632"/>
            <w:shd w:val="clear" w:fill="ffffff"/>
          </w:tcPr>
          <w:p>
            <w:r/>
            <w:r>
              <w:rPr>
                <w:rFonts w:ascii="Calibri" w:hAnsi="Calibri"/>
                <w:b w:val="0"/>
                <w:color w:val="42566C"/>
                <w:sz w:val="19"/>
              </w:rPr>
              <w:t>Daily mean fine particulate matter (PM2.5) concentration</w:t>
            </w:r>
          </w:p>
        </w:tc>
      </w:tr>
      <w:tr>
        <w:tc>
          <w:tcPr>
            <w:tcW w:type="dxa" w:w="1152"/>
            <w:shd w:val="clear" w:fill="f2f5f9"/>
          </w:tcPr>
          <w:p>
            <w:r/>
            <w:r>
              <w:rPr>
                <w:rFonts w:ascii="Calibri" w:hAnsi="Calibri"/>
                <w:b w:val="0"/>
                <w:color w:val="42566C"/>
                <w:sz w:val="19"/>
              </w:rPr>
              <w:t>pm10</w:t>
            </w:r>
          </w:p>
        </w:tc>
        <w:tc>
          <w:tcPr>
            <w:tcW w:type="dxa" w:w="1152"/>
            <w:shd w:val="clear" w:fill="f2f5f9"/>
          </w:tcPr>
          <w:p>
            <w:r/>
            <w:r>
              <w:rPr>
                <w:rFonts w:ascii="Calibri" w:hAnsi="Calibri"/>
                <w:b w:val="0"/>
                <w:color w:val="42566C"/>
                <w:sz w:val="19"/>
              </w:rPr>
              <w:t>Number</w:t>
            </w:r>
          </w:p>
        </w:tc>
        <w:tc>
          <w:tcPr>
            <w:tcW w:type="dxa" w:w="7632"/>
            <w:shd w:val="clear" w:fill="f2f5f9"/>
          </w:tcPr>
          <w:p>
            <w:r/>
            <w:r>
              <w:rPr>
                <w:rFonts w:ascii="Calibri" w:hAnsi="Calibri"/>
                <w:b w:val="0"/>
                <w:color w:val="42566C"/>
                <w:sz w:val="19"/>
              </w:rPr>
              <w:t>Daily mean coarse particulate matter (PM10) concentration</w:t>
            </w:r>
          </w:p>
        </w:tc>
      </w:tr>
      <w:tr>
        <w:tc>
          <w:tcPr>
            <w:tcW w:type="dxa" w:w="1152"/>
            <w:shd w:val="clear" w:fill="ffffff"/>
          </w:tcPr>
          <w:p>
            <w:r/>
            <w:r>
              <w:rPr>
                <w:rFonts w:ascii="Calibri" w:hAnsi="Calibri"/>
                <w:b w:val="0"/>
                <w:color w:val="42566C"/>
                <w:sz w:val="19"/>
              </w:rPr>
              <w:t>nh3</w:t>
            </w:r>
          </w:p>
        </w:tc>
        <w:tc>
          <w:tcPr>
            <w:tcW w:type="dxa" w:w="1152"/>
            <w:shd w:val="clear" w:fill="ffffff"/>
          </w:tcPr>
          <w:p>
            <w:r/>
            <w:r>
              <w:rPr>
                <w:rFonts w:ascii="Calibri" w:hAnsi="Calibri"/>
                <w:b w:val="0"/>
                <w:color w:val="42566C"/>
                <w:sz w:val="19"/>
              </w:rPr>
              <w:t>Number</w:t>
            </w:r>
          </w:p>
        </w:tc>
        <w:tc>
          <w:tcPr>
            <w:tcW w:type="dxa" w:w="7632"/>
            <w:shd w:val="clear" w:fill="ffffff"/>
          </w:tcPr>
          <w:p>
            <w:r/>
            <w:r>
              <w:rPr>
                <w:rFonts w:ascii="Calibri" w:hAnsi="Calibri"/>
                <w:b w:val="0"/>
                <w:color w:val="42566C"/>
                <w:sz w:val="19"/>
              </w:rPr>
              <w:t>Daily mean ammonia concentration</w:t>
            </w:r>
          </w:p>
        </w:tc>
      </w:tr>
    </w:tbl>
    <w:p/>
    <w:p>
      <w:pPr>
        <w:pStyle w:val="ListBullet"/>
      </w:pPr>
      <w:r>
        <w:rPr>
          <w:rFonts w:ascii="Calibri" w:hAnsi="Calibri"/>
          <w:color w:val="42566C"/>
          <w:sz w:val="21"/>
        </w:rPr>
        <w:t>23,504 rows · 26 cities · 904 reporting days per city (every city reports on exactly the same days).</w:t>
      </w:r>
    </w:p>
    <w:p>
      <w:pPr>
        <w:pStyle w:val="ListBullet"/>
      </w:pPr>
      <w:r>
        <w:rPr>
          <w:rFonts w:ascii="Calibri" w:hAnsi="Calibri"/>
          <w:color w:val="42566C"/>
          <w:sz w:val="21"/>
        </w:rPr>
        <w:t>Coverage: 904 of 907 calendar days (99.7%). The three absent dates — 21 Jul 2022, 10 Dec 2022, 24 Feb 2023 — are missing network-wide, not per city.</w:t>
      </w:r>
    </w:p>
    <w:p>
      <w:pPr>
        <w:pStyle w:val="ListBullet"/>
      </w:pPr>
      <w:r>
        <w:rPr>
          <w:rFonts w:ascii="Calibri" w:hAnsi="Calibri"/>
          <w:color w:val="42566C"/>
          <w:sz w:val="21"/>
        </w:rPr>
        <w:t>Zero null values across all 11 fields and zero duplicate (city, date) keys — no imputation or cleaning was required.</w:t>
      </w:r>
    </w:p>
    <w:p>
      <w:pPr>
        <w:pStyle w:val="ListBullet"/>
      </w:pPr>
      <w:r>
        <w:rPr>
          <w:rFonts w:ascii="Calibri" w:hAnsi="Calibri"/>
          <w:color w:val="42566C"/>
          <w:sz w:val="21"/>
        </w:rPr>
        <w:t>Edge years are partial (Dec 2020: 32 days; Jan–May 2023: 144 days), so year-over-year comparisons in this report use the complete years 2021 and 2022.</w:t>
      </w:r>
    </w:p>
    <w:p>
      <w:pPr>
        <w:jc w:val="center"/>
      </w:pPr>
      <w:r>
        <w:drawing>
          <wp:inline xmlns:a="http://schemas.openxmlformats.org/drawingml/2006/main" xmlns:pic="http://schemas.openxmlformats.org/drawingml/2006/picture">
            <wp:extent cx="6309360" cy="2857165"/>
            <wp:docPr id="1" name="Picture 1"/>
            <wp:cNvGraphicFramePr>
              <a:graphicFrameLocks noChangeAspect="1"/>
            </wp:cNvGraphicFramePr>
            <a:graphic>
              <a:graphicData uri="http://schemas.openxmlformats.org/drawingml/2006/picture">
                <pic:pic>
                  <pic:nvPicPr>
                    <pic:cNvPr id="0" name="aqi_dist.png"/>
                    <pic:cNvPicPr/>
                  </pic:nvPicPr>
                  <pic:blipFill>
                    <a:blip r:embed="rId9"/>
                    <a:stretch>
                      <a:fillRect/>
                    </a:stretch>
                  </pic:blipFill>
                  <pic:spPr>
                    <a:xfrm>
                      <a:off x="0" y="0"/>
                      <a:ext cx="6309360" cy="2857165"/>
                    </a:xfrm>
                    <a:prstGeom prst="rect"/>
                  </pic:spPr>
                </pic:pic>
              </a:graphicData>
            </a:graphic>
          </wp:inline>
        </w:drawing>
      </w:r>
    </w:p>
    <w:p>
      <w:pPr>
        <w:spacing w:after="200"/>
        <w:jc w:val="center"/>
      </w:pPr>
      <w:r>
        <w:rPr>
          <w:rFonts w:ascii="Calibri" w:hAnsi="Calibri"/>
          <w:b w:val="0"/>
          <w:i/>
          <w:color w:val="75879D"/>
          <w:sz w:val="17"/>
        </w:rPr>
        <w:t>Figure 1 · Share of city-days by AQI category, all 26 cities, Nov 2020 – May 2023. Green = below the unhealthy threshold, red = AQI ≥ 4.</w:t>
      </w:r>
    </w:p>
    <w:p>
      <w:r>
        <w:br w:type="page"/>
      </w:r>
    </w:p>
    <w:p>
      <w:pPr>
        <w:pStyle w:val="Heading1"/>
      </w:pPr>
      <w:r>
        <w:rPr>
          <w:rFonts w:ascii="Calibri" w:hAnsi="Calibri"/>
          <w:color w:val="16283C"/>
        </w:rPr>
        <w:t>3.  Where pollution concentrates</w:t>
      </w:r>
    </w:p>
    <w:p>
      <w:pPr>
        <w:spacing w:after="120"/>
      </w:pPr>
      <w:r>
        <w:rPr>
          <w:rFonts w:ascii="Calibri" w:hAnsi="Calibri"/>
          <w:b w:val="0"/>
          <w:i w:val="0"/>
          <w:color w:val="42566C"/>
          <w:sz w:val="21"/>
        </w:rPr>
        <w:t>Average exposure differs more between cities than between years. Mean PM2.5 spans 204 µg/m³ in Delhi against 33 in Aizawl — a six-fold gap — and the share of unhealthy days ranges from below 40% to above 96%.</w:t>
      </w:r>
    </w:p>
    <w:p>
      <w:pPr>
        <w:jc w:val="center"/>
      </w:pPr>
      <w:r>
        <w:drawing>
          <wp:inline xmlns:a="http://schemas.openxmlformats.org/drawingml/2006/main" xmlns:pic="http://schemas.openxmlformats.org/drawingml/2006/picture">
            <wp:extent cx="6309360" cy="4267156"/>
            <wp:docPr id="2" name="Picture 2"/>
            <wp:cNvGraphicFramePr>
              <a:graphicFrameLocks noChangeAspect="1"/>
            </wp:cNvGraphicFramePr>
            <a:graphic>
              <a:graphicData uri="http://schemas.openxmlformats.org/drawingml/2006/picture">
                <pic:pic>
                  <pic:nvPicPr>
                    <pic:cNvPr id="0" name="city_unhealthy.png"/>
                    <pic:cNvPicPr/>
                  </pic:nvPicPr>
                  <pic:blipFill>
                    <a:blip r:embed="rId10"/>
                    <a:stretch>
                      <a:fillRect/>
                    </a:stretch>
                  </pic:blipFill>
                  <pic:spPr>
                    <a:xfrm>
                      <a:off x="0" y="0"/>
                      <a:ext cx="6309360" cy="4267156"/>
                    </a:xfrm>
                    <a:prstGeom prst="rect"/>
                  </pic:spPr>
                </pic:pic>
              </a:graphicData>
            </a:graphic>
          </wp:inline>
        </w:drawing>
      </w:r>
    </w:p>
    <w:p>
      <w:pPr>
        <w:spacing w:after="200"/>
        <w:jc w:val="center"/>
      </w:pPr>
      <w:r>
        <w:rPr>
          <w:rFonts w:ascii="Calibri" w:hAnsi="Calibri"/>
          <w:b w:val="0"/>
          <w:i/>
          <w:color w:val="75879D"/>
          <w:sz w:val="17"/>
        </w:rPr>
        <w:t>Figure 2 · Share of days at AQI ≥ 4 by city, full period. Colour follows the workbook status scale: green &lt; 50%, amber 50–75%, red &gt; 75%.</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864"/>
            <w:shd w:val="clear" w:fill="16283c"/>
          </w:tcPr>
          <w:p>
            <w:pPr>
              <w:jc w:val="center"/>
            </w:pPr>
            <w:r/>
            <w:r>
              <w:rPr>
                <w:rFonts w:ascii="Calibri" w:hAnsi="Calibri"/>
                <w:b/>
                <w:color w:val="FFFFFF"/>
                <w:sz w:val="19"/>
              </w:rPr>
              <w:t>Rank</w:t>
            </w:r>
          </w:p>
        </w:tc>
        <w:tc>
          <w:tcPr>
            <w:tcW w:type="dxa" w:w="2736"/>
            <w:shd w:val="clear" w:fill="16283c"/>
          </w:tcPr>
          <w:p>
            <w:r/>
            <w:r>
              <w:rPr>
                <w:rFonts w:ascii="Calibri" w:hAnsi="Calibri"/>
                <w:b/>
                <w:color w:val="FFFFFF"/>
                <w:sz w:val="19"/>
              </w:rPr>
              <w:t>City</w:t>
            </w:r>
          </w:p>
        </w:tc>
        <w:tc>
          <w:tcPr>
            <w:tcW w:type="dxa" w:w="1584"/>
            <w:shd w:val="clear" w:fill="16283c"/>
          </w:tcPr>
          <w:p>
            <w:pPr>
              <w:jc w:val="center"/>
            </w:pPr>
            <w:r/>
            <w:r>
              <w:rPr>
                <w:rFonts w:ascii="Calibri" w:hAnsi="Calibri"/>
                <w:b/>
                <w:color w:val="FFFFFF"/>
                <w:sz w:val="19"/>
              </w:rPr>
              <w:t>Avg AQI</w:t>
            </w:r>
          </w:p>
        </w:tc>
        <w:tc>
          <w:tcPr>
            <w:tcW w:type="dxa" w:w="2232"/>
            <w:shd w:val="clear" w:fill="16283c"/>
          </w:tcPr>
          <w:p>
            <w:pPr>
              <w:jc w:val="center"/>
            </w:pPr>
            <w:r/>
            <w:r>
              <w:rPr>
                <w:rFonts w:ascii="Calibri" w:hAnsi="Calibri"/>
                <w:b/>
                <w:color w:val="FFFFFF"/>
                <w:sz w:val="19"/>
              </w:rPr>
              <w:t>Unhealthy days</w:t>
            </w:r>
          </w:p>
        </w:tc>
        <w:tc>
          <w:tcPr>
            <w:tcW w:type="dxa" w:w="2520"/>
            <w:shd w:val="clear" w:fill="16283c"/>
          </w:tcPr>
          <w:p>
            <w:pPr>
              <w:jc w:val="center"/>
            </w:pPr>
            <w:r/>
            <w:r>
              <w:rPr>
                <w:rFonts w:ascii="Calibri" w:hAnsi="Calibri"/>
                <w:b/>
                <w:color w:val="FFFFFF"/>
                <w:sz w:val="19"/>
              </w:rPr>
              <w:t>Mean PM2.5 (µg/m³)</w:t>
            </w:r>
          </w:p>
        </w:tc>
      </w:tr>
      <w:tr>
        <w:tc>
          <w:tcPr>
            <w:tcW w:type="dxa" w:w="864"/>
            <w:shd w:val="clear" w:fill="ffffff"/>
          </w:tcPr>
          <w:p>
            <w:pPr>
              <w:jc w:val="center"/>
            </w:pPr>
            <w:r/>
            <w:r>
              <w:rPr>
                <w:rFonts w:ascii="Calibri" w:hAnsi="Calibri"/>
                <w:b w:val="0"/>
                <w:color w:val="42566C"/>
                <w:sz w:val="19"/>
              </w:rPr>
              <w:t>1</w:t>
            </w:r>
          </w:p>
        </w:tc>
        <w:tc>
          <w:tcPr>
            <w:tcW w:type="dxa" w:w="2736"/>
            <w:shd w:val="clear" w:fill="ffffff"/>
          </w:tcPr>
          <w:p>
            <w:r/>
            <w:r>
              <w:rPr>
                <w:rFonts w:ascii="Calibri" w:hAnsi="Calibri"/>
                <w:b w:val="0"/>
                <w:color w:val="42566C"/>
                <w:sz w:val="19"/>
              </w:rPr>
              <w:t>Delhi</w:t>
            </w:r>
          </w:p>
        </w:tc>
        <w:tc>
          <w:tcPr>
            <w:tcW w:type="dxa" w:w="1584"/>
            <w:shd w:val="clear" w:fill="ffffff"/>
          </w:tcPr>
          <w:p>
            <w:pPr>
              <w:jc w:val="center"/>
            </w:pPr>
            <w:r/>
            <w:r>
              <w:rPr>
                <w:rFonts w:ascii="Calibri" w:hAnsi="Calibri"/>
                <w:b w:val="0"/>
                <w:color w:val="42566C"/>
                <w:sz w:val="19"/>
              </w:rPr>
              <w:t>4.81</w:t>
            </w:r>
          </w:p>
        </w:tc>
        <w:tc>
          <w:tcPr>
            <w:tcW w:type="dxa" w:w="2232"/>
            <w:shd w:val="clear" w:fill="ffffff"/>
          </w:tcPr>
          <w:p>
            <w:pPr>
              <w:jc w:val="center"/>
            </w:pPr>
            <w:r/>
            <w:r>
              <w:rPr>
                <w:rFonts w:ascii="Calibri" w:hAnsi="Calibri"/>
                <w:b w:val="0"/>
                <w:color w:val="42566C"/>
                <w:sz w:val="19"/>
              </w:rPr>
              <w:t>96.0%</w:t>
            </w:r>
          </w:p>
        </w:tc>
        <w:tc>
          <w:tcPr>
            <w:tcW w:type="dxa" w:w="2520"/>
            <w:shd w:val="clear" w:fill="ffffff"/>
          </w:tcPr>
          <w:p>
            <w:pPr>
              <w:jc w:val="center"/>
            </w:pPr>
            <w:r/>
            <w:r>
              <w:rPr>
                <w:rFonts w:ascii="Calibri" w:hAnsi="Calibri"/>
                <w:b w:val="0"/>
                <w:color w:val="42566C"/>
                <w:sz w:val="19"/>
              </w:rPr>
              <w:t>204</w:t>
            </w:r>
          </w:p>
        </w:tc>
      </w:tr>
      <w:tr>
        <w:tc>
          <w:tcPr>
            <w:tcW w:type="dxa" w:w="864"/>
            <w:shd w:val="clear" w:fill="f2f5f9"/>
          </w:tcPr>
          <w:p>
            <w:pPr>
              <w:jc w:val="center"/>
            </w:pPr>
            <w:r/>
            <w:r>
              <w:rPr>
                <w:rFonts w:ascii="Calibri" w:hAnsi="Calibri"/>
                <w:b w:val="0"/>
                <w:color w:val="42566C"/>
                <w:sz w:val="19"/>
              </w:rPr>
              <w:t>2</w:t>
            </w:r>
          </w:p>
        </w:tc>
        <w:tc>
          <w:tcPr>
            <w:tcW w:type="dxa" w:w="2736"/>
            <w:shd w:val="clear" w:fill="f2f5f9"/>
          </w:tcPr>
          <w:p>
            <w:r/>
            <w:r>
              <w:rPr>
                <w:rFonts w:ascii="Calibri" w:hAnsi="Calibri"/>
                <w:b w:val="0"/>
                <w:color w:val="42566C"/>
                <w:sz w:val="19"/>
              </w:rPr>
              <w:t>Jorapokhar</w:t>
            </w:r>
          </w:p>
        </w:tc>
        <w:tc>
          <w:tcPr>
            <w:tcW w:type="dxa" w:w="1584"/>
            <w:shd w:val="clear" w:fill="f2f5f9"/>
          </w:tcPr>
          <w:p>
            <w:pPr>
              <w:jc w:val="center"/>
            </w:pPr>
            <w:r/>
            <w:r>
              <w:rPr>
                <w:rFonts w:ascii="Calibri" w:hAnsi="Calibri"/>
                <w:b w:val="0"/>
                <w:color w:val="42566C"/>
                <w:sz w:val="19"/>
              </w:rPr>
              <w:t>4.81</w:t>
            </w:r>
          </w:p>
        </w:tc>
        <w:tc>
          <w:tcPr>
            <w:tcW w:type="dxa" w:w="2232"/>
            <w:shd w:val="clear" w:fill="f2f5f9"/>
          </w:tcPr>
          <w:p>
            <w:pPr>
              <w:jc w:val="center"/>
            </w:pPr>
            <w:r/>
            <w:r>
              <w:rPr>
                <w:rFonts w:ascii="Calibri" w:hAnsi="Calibri"/>
                <w:b w:val="0"/>
                <w:color w:val="42566C"/>
                <w:sz w:val="19"/>
              </w:rPr>
              <w:t>96.5%</w:t>
            </w:r>
          </w:p>
        </w:tc>
        <w:tc>
          <w:tcPr>
            <w:tcW w:type="dxa" w:w="2520"/>
            <w:shd w:val="clear" w:fill="f2f5f9"/>
          </w:tcPr>
          <w:p>
            <w:pPr>
              <w:jc w:val="center"/>
            </w:pPr>
            <w:r/>
            <w:r>
              <w:rPr>
                <w:rFonts w:ascii="Calibri" w:hAnsi="Calibri"/>
                <w:b w:val="0"/>
                <w:color w:val="42566C"/>
                <w:sz w:val="19"/>
              </w:rPr>
              <w:t>142</w:t>
            </w:r>
          </w:p>
        </w:tc>
      </w:tr>
      <w:tr>
        <w:tc>
          <w:tcPr>
            <w:tcW w:type="dxa" w:w="864"/>
            <w:shd w:val="clear" w:fill="ffffff"/>
          </w:tcPr>
          <w:p>
            <w:pPr>
              <w:jc w:val="center"/>
            </w:pPr>
            <w:r/>
            <w:r>
              <w:rPr>
                <w:rFonts w:ascii="Calibri" w:hAnsi="Calibri"/>
                <w:b w:val="0"/>
                <w:color w:val="42566C"/>
                <w:sz w:val="19"/>
              </w:rPr>
              <w:t>3</w:t>
            </w:r>
          </w:p>
        </w:tc>
        <w:tc>
          <w:tcPr>
            <w:tcW w:type="dxa" w:w="2736"/>
            <w:shd w:val="clear" w:fill="ffffff"/>
          </w:tcPr>
          <w:p>
            <w:r/>
            <w:r>
              <w:rPr>
                <w:rFonts w:ascii="Calibri" w:hAnsi="Calibri"/>
                <w:b w:val="0"/>
                <w:color w:val="42566C"/>
                <w:sz w:val="19"/>
              </w:rPr>
              <w:t>Amritsar</w:t>
            </w:r>
          </w:p>
        </w:tc>
        <w:tc>
          <w:tcPr>
            <w:tcW w:type="dxa" w:w="1584"/>
            <w:shd w:val="clear" w:fill="ffffff"/>
          </w:tcPr>
          <w:p>
            <w:pPr>
              <w:jc w:val="center"/>
            </w:pPr>
            <w:r/>
            <w:r>
              <w:rPr>
                <w:rFonts w:ascii="Calibri" w:hAnsi="Calibri"/>
                <w:b w:val="0"/>
                <w:color w:val="42566C"/>
                <w:sz w:val="19"/>
              </w:rPr>
              <w:t>4.78</w:t>
            </w:r>
          </w:p>
        </w:tc>
        <w:tc>
          <w:tcPr>
            <w:tcW w:type="dxa" w:w="2232"/>
            <w:shd w:val="clear" w:fill="ffffff"/>
          </w:tcPr>
          <w:p>
            <w:pPr>
              <w:jc w:val="center"/>
            </w:pPr>
            <w:r/>
            <w:r>
              <w:rPr>
                <w:rFonts w:ascii="Calibri" w:hAnsi="Calibri"/>
                <w:b w:val="0"/>
                <w:color w:val="42566C"/>
                <w:sz w:val="19"/>
              </w:rPr>
              <w:t>95.1%</w:t>
            </w:r>
          </w:p>
        </w:tc>
        <w:tc>
          <w:tcPr>
            <w:tcW w:type="dxa" w:w="2520"/>
            <w:shd w:val="clear" w:fill="ffffff"/>
          </w:tcPr>
          <w:p>
            <w:pPr>
              <w:jc w:val="center"/>
            </w:pPr>
            <w:r/>
            <w:r>
              <w:rPr>
                <w:rFonts w:ascii="Calibri" w:hAnsi="Calibri"/>
                <w:b w:val="0"/>
                <w:color w:val="42566C"/>
                <w:sz w:val="19"/>
              </w:rPr>
              <w:t>177</w:t>
            </w:r>
          </w:p>
        </w:tc>
      </w:tr>
      <w:tr>
        <w:tc>
          <w:tcPr>
            <w:tcW w:type="dxa" w:w="864"/>
            <w:shd w:val="clear" w:fill="f2f5f9"/>
          </w:tcPr>
          <w:p>
            <w:pPr>
              <w:jc w:val="center"/>
            </w:pPr>
            <w:r/>
            <w:r>
              <w:rPr>
                <w:rFonts w:ascii="Calibri" w:hAnsi="Calibri"/>
                <w:b w:val="0"/>
                <w:color w:val="42566C"/>
                <w:sz w:val="19"/>
              </w:rPr>
              <w:t>4</w:t>
            </w:r>
          </w:p>
        </w:tc>
        <w:tc>
          <w:tcPr>
            <w:tcW w:type="dxa" w:w="2736"/>
            <w:shd w:val="clear" w:fill="f2f5f9"/>
          </w:tcPr>
          <w:p>
            <w:r/>
            <w:r>
              <w:rPr>
                <w:rFonts w:ascii="Calibri" w:hAnsi="Calibri"/>
                <w:b w:val="0"/>
                <w:color w:val="42566C"/>
                <w:sz w:val="19"/>
              </w:rPr>
              <w:t>Patna</w:t>
            </w:r>
          </w:p>
        </w:tc>
        <w:tc>
          <w:tcPr>
            <w:tcW w:type="dxa" w:w="1584"/>
            <w:shd w:val="clear" w:fill="f2f5f9"/>
          </w:tcPr>
          <w:p>
            <w:pPr>
              <w:jc w:val="center"/>
            </w:pPr>
            <w:r/>
            <w:r>
              <w:rPr>
                <w:rFonts w:ascii="Calibri" w:hAnsi="Calibri"/>
                <w:b w:val="0"/>
                <w:color w:val="42566C"/>
                <w:sz w:val="19"/>
              </w:rPr>
              <w:t>4.76</w:t>
            </w:r>
          </w:p>
        </w:tc>
        <w:tc>
          <w:tcPr>
            <w:tcW w:type="dxa" w:w="2232"/>
            <w:shd w:val="clear" w:fill="f2f5f9"/>
          </w:tcPr>
          <w:p>
            <w:pPr>
              <w:jc w:val="center"/>
            </w:pPr>
            <w:r/>
            <w:r>
              <w:rPr>
                <w:rFonts w:ascii="Calibri" w:hAnsi="Calibri"/>
                <w:b w:val="0"/>
                <w:color w:val="42566C"/>
                <w:sz w:val="19"/>
              </w:rPr>
              <w:t>95.4%</w:t>
            </w:r>
          </w:p>
        </w:tc>
        <w:tc>
          <w:tcPr>
            <w:tcW w:type="dxa" w:w="2520"/>
            <w:shd w:val="clear" w:fill="f2f5f9"/>
          </w:tcPr>
          <w:p>
            <w:pPr>
              <w:jc w:val="center"/>
            </w:pPr>
            <w:r/>
            <w:r>
              <w:rPr>
                <w:rFonts w:ascii="Calibri" w:hAnsi="Calibri"/>
                <w:b w:val="0"/>
                <w:color w:val="42566C"/>
                <w:sz w:val="19"/>
              </w:rPr>
              <w:t>178</w:t>
            </w:r>
          </w:p>
        </w:tc>
      </w:tr>
      <w:tr>
        <w:tc>
          <w:tcPr>
            <w:tcW w:type="dxa" w:w="864"/>
            <w:shd w:val="clear" w:fill="ffffff"/>
          </w:tcPr>
          <w:p>
            <w:pPr>
              <w:jc w:val="center"/>
            </w:pPr>
            <w:r/>
            <w:r>
              <w:rPr>
                <w:rFonts w:ascii="Calibri" w:hAnsi="Calibri"/>
                <w:b w:val="0"/>
                <w:color w:val="42566C"/>
                <w:sz w:val="19"/>
              </w:rPr>
              <w:t>5</w:t>
            </w:r>
          </w:p>
        </w:tc>
        <w:tc>
          <w:tcPr>
            <w:tcW w:type="dxa" w:w="2736"/>
            <w:shd w:val="clear" w:fill="ffffff"/>
          </w:tcPr>
          <w:p>
            <w:r/>
            <w:r>
              <w:rPr>
                <w:rFonts w:ascii="Calibri" w:hAnsi="Calibri"/>
                <w:b w:val="0"/>
                <w:color w:val="42566C"/>
                <w:sz w:val="19"/>
              </w:rPr>
              <w:t>Lucknow</w:t>
            </w:r>
          </w:p>
        </w:tc>
        <w:tc>
          <w:tcPr>
            <w:tcW w:type="dxa" w:w="1584"/>
            <w:shd w:val="clear" w:fill="ffffff"/>
          </w:tcPr>
          <w:p>
            <w:pPr>
              <w:jc w:val="center"/>
            </w:pPr>
            <w:r/>
            <w:r>
              <w:rPr>
                <w:rFonts w:ascii="Calibri" w:hAnsi="Calibri"/>
                <w:b w:val="0"/>
                <w:color w:val="42566C"/>
                <w:sz w:val="19"/>
              </w:rPr>
              <w:t>4.70</w:t>
            </w:r>
          </w:p>
        </w:tc>
        <w:tc>
          <w:tcPr>
            <w:tcW w:type="dxa" w:w="2232"/>
            <w:shd w:val="clear" w:fill="ffffff"/>
          </w:tcPr>
          <w:p>
            <w:pPr>
              <w:jc w:val="center"/>
            </w:pPr>
            <w:r/>
            <w:r>
              <w:rPr>
                <w:rFonts w:ascii="Calibri" w:hAnsi="Calibri"/>
                <w:b w:val="0"/>
                <w:color w:val="42566C"/>
                <w:sz w:val="19"/>
              </w:rPr>
              <w:t>93.5%</w:t>
            </w:r>
          </w:p>
        </w:tc>
        <w:tc>
          <w:tcPr>
            <w:tcW w:type="dxa" w:w="2520"/>
            <w:shd w:val="clear" w:fill="ffffff"/>
          </w:tcPr>
          <w:p>
            <w:pPr>
              <w:jc w:val="center"/>
            </w:pPr>
            <w:r/>
            <w:r>
              <w:rPr>
                <w:rFonts w:ascii="Calibri" w:hAnsi="Calibri"/>
                <w:b w:val="0"/>
                <w:color w:val="42566C"/>
                <w:sz w:val="19"/>
              </w:rPr>
              <w:t>155</w:t>
            </w:r>
          </w:p>
        </w:tc>
      </w:tr>
      <w:tr>
        <w:tc>
          <w:tcPr>
            <w:tcW w:type="dxa" w:w="864"/>
            <w:shd w:val="clear" w:fill="f2f5f9"/>
          </w:tcPr>
          <w:p>
            <w:pPr>
              <w:jc w:val="center"/>
            </w:pPr>
            <w:r/>
            <w:r>
              <w:rPr>
                <w:rFonts w:ascii="Calibri" w:hAnsi="Calibri"/>
                <w:b w:val="0"/>
                <w:color w:val="42566C"/>
                <w:sz w:val="19"/>
              </w:rPr>
              <w:t>22</w:t>
            </w:r>
          </w:p>
        </w:tc>
        <w:tc>
          <w:tcPr>
            <w:tcW w:type="dxa" w:w="2736"/>
            <w:shd w:val="clear" w:fill="f2f5f9"/>
          </w:tcPr>
          <w:p>
            <w:r/>
            <w:r>
              <w:rPr>
                <w:rFonts w:ascii="Calibri" w:hAnsi="Calibri"/>
                <w:b w:val="0"/>
                <w:color w:val="42566C"/>
                <w:sz w:val="19"/>
              </w:rPr>
              <w:t>Bengaluru</w:t>
            </w:r>
          </w:p>
        </w:tc>
        <w:tc>
          <w:tcPr>
            <w:tcW w:type="dxa" w:w="1584"/>
            <w:shd w:val="clear" w:fill="f2f5f9"/>
          </w:tcPr>
          <w:p>
            <w:pPr>
              <w:jc w:val="center"/>
            </w:pPr>
            <w:r/>
            <w:r>
              <w:rPr>
                <w:rFonts w:ascii="Calibri" w:hAnsi="Calibri"/>
                <w:b w:val="0"/>
                <w:color w:val="42566C"/>
                <w:sz w:val="19"/>
              </w:rPr>
              <w:t>2.86</w:t>
            </w:r>
          </w:p>
        </w:tc>
        <w:tc>
          <w:tcPr>
            <w:tcW w:type="dxa" w:w="2232"/>
            <w:shd w:val="clear" w:fill="f2f5f9"/>
          </w:tcPr>
          <w:p>
            <w:pPr>
              <w:jc w:val="center"/>
            </w:pPr>
            <w:r/>
            <w:r>
              <w:rPr>
                <w:rFonts w:ascii="Calibri" w:hAnsi="Calibri"/>
                <w:b w:val="0"/>
                <w:color w:val="42566C"/>
                <w:sz w:val="19"/>
              </w:rPr>
              <w:t>41.6%</w:t>
            </w:r>
          </w:p>
        </w:tc>
        <w:tc>
          <w:tcPr>
            <w:tcW w:type="dxa" w:w="2520"/>
            <w:shd w:val="clear" w:fill="f2f5f9"/>
          </w:tcPr>
          <w:p>
            <w:pPr>
              <w:jc w:val="center"/>
            </w:pPr>
            <w:r/>
            <w:r>
              <w:rPr>
                <w:rFonts w:ascii="Calibri" w:hAnsi="Calibri"/>
                <w:b w:val="0"/>
                <w:color w:val="42566C"/>
                <w:sz w:val="19"/>
              </w:rPr>
              <w:t>32</w:t>
            </w:r>
          </w:p>
        </w:tc>
      </w:tr>
      <w:tr>
        <w:tc>
          <w:tcPr>
            <w:tcW w:type="dxa" w:w="864"/>
            <w:shd w:val="clear" w:fill="ffffff"/>
          </w:tcPr>
          <w:p>
            <w:pPr>
              <w:jc w:val="center"/>
            </w:pPr>
            <w:r/>
            <w:r>
              <w:rPr>
                <w:rFonts w:ascii="Calibri" w:hAnsi="Calibri"/>
                <w:b w:val="0"/>
                <w:color w:val="42566C"/>
                <w:sz w:val="19"/>
              </w:rPr>
              <w:t>23</w:t>
            </w:r>
          </w:p>
        </w:tc>
        <w:tc>
          <w:tcPr>
            <w:tcW w:type="dxa" w:w="2736"/>
            <w:shd w:val="clear" w:fill="ffffff"/>
          </w:tcPr>
          <w:p>
            <w:r/>
            <w:r>
              <w:rPr>
                <w:rFonts w:ascii="Calibri" w:hAnsi="Calibri"/>
                <w:b w:val="0"/>
                <w:color w:val="42566C"/>
                <w:sz w:val="19"/>
              </w:rPr>
              <w:t>Kochi</w:t>
            </w:r>
          </w:p>
        </w:tc>
        <w:tc>
          <w:tcPr>
            <w:tcW w:type="dxa" w:w="1584"/>
            <w:shd w:val="clear" w:fill="ffffff"/>
          </w:tcPr>
          <w:p>
            <w:pPr>
              <w:jc w:val="center"/>
            </w:pPr>
            <w:r/>
            <w:r>
              <w:rPr>
                <w:rFonts w:ascii="Calibri" w:hAnsi="Calibri"/>
                <w:b w:val="0"/>
                <w:color w:val="42566C"/>
                <w:sz w:val="19"/>
              </w:rPr>
              <w:t>2.82</w:t>
            </w:r>
          </w:p>
        </w:tc>
        <w:tc>
          <w:tcPr>
            <w:tcW w:type="dxa" w:w="2232"/>
            <w:shd w:val="clear" w:fill="ffffff"/>
          </w:tcPr>
          <w:p>
            <w:pPr>
              <w:jc w:val="center"/>
            </w:pPr>
            <w:r/>
            <w:r>
              <w:rPr>
                <w:rFonts w:ascii="Calibri" w:hAnsi="Calibri"/>
                <w:b w:val="0"/>
                <w:color w:val="42566C"/>
                <w:sz w:val="19"/>
              </w:rPr>
              <w:t>42.5%</w:t>
            </w:r>
          </w:p>
        </w:tc>
        <w:tc>
          <w:tcPr>
            <w:tcW w:type="dxa" w:w="2520"/>
            <w:shd w:val="clear" w:fill="ffffff"/>
          </w:tcPr>
          <w:p>
            <w:pPr>
              <w:jc w:val="center"/>
            </w:pPr>
            <w:r/>
            <w:r>
              <w:rPr>
                <w:rFonts w:ascii="Calibri" w:hAnsi="Calibri"/>
                <w:b w:val="0"/>
                <w:color w:val="42566C"/>
                <w:sz w:val="19"/>
              </w:rPr>
              <w:t>33</w:t>
            </w:r>
          </w:p>
        </w:tc>
      </w:tr>
      <w:tr>
        <w:tc>
          <w:tcPr>
            <w:tcW w:type="dxa" w:w="864"/>
            <w:shd w:val="clear" w:fill="f2f5f9"/>
          </w:tcPr>
          <w:p>
            <w:pPr>
              <w:jc w:val="center"/>
            </w:pPr>
            <w:r/>
            <w:r>
              <w:rPr>
                <w:rFonts w:ascii="Calibri" w:hAnsi="Calibri"/>
                <w:b w:val="0"/>
                <w:color w:val="42566C"/>
                <w:sz w:val="19"/>
              </w:rPr>
              <w:t>24</w:t>
            </w:r>
          </w:p>
        </w:tc>
        <w:tc>
          <w:tcPr>
            <w:tcW w:type="dxa" w:w="2736"/>
            <w:shd w:val="clear" w:fill="f2f5f9"/>
          </w:tcPr>
          <w:p>
            <w:r/>
            <w:r>
              <w:rPr>
                <w:rFonts w:ascii="Calibri" w:hAnsi="Calibri"/>
                <w:b w:val="0"/>
                <w:color w:val="42566C"/>
                <w:sz w:val="19"/>
              </w:rPr>
              <w:t>Ernakulam</w:t>
            </w:r>
          </w:p>
        </w:tc>
        <w:tc>
          <w:tcPr>
            <w:tcW w:type="dxa" w:w="1584"/>
            <w:shd w:val="clear" w:fill="f2f5f9"/>
          </w:tcPr>
          <w:p>
            <w:pPr>
              <w:jc w:val="center"/>
            </w:pPr>
            <w:r/>
            <w:r>
              <w:rPr>
                <w:rFonts w:ascii="Calibri" w:hAnsi="Calibri"/>
                <w:b w:val="0"/>
                <w:color w:val="42566C"/>
                <w:sz w:val="19"/>
              </w:rPr>
              <w:t>2.82</w:t>
            </w:r>
          </w:p>
        </w:tc>
        <w:tc>
          <w:tcPr>
            <w:tcW w:type="dxa" w:w="2232"/>
            <w:shd w:val="clear" w:fill="f2f5f9"/>
          </w:tcPr>
          <w:p>
            <w:pPr>
              <w:jc w:val="center"/>
            </w:pPr>
            <w:r/>
            <w:r>
              <w:rPr>
                <w:rFonts w:ascii="Calibri" w:hAnsi="Calibri"/>
                <w:b w:val="0"/>
                <w:color w:val="42566C"/>
                <w:sz w:val="19"/>
              </w:rPr>
              <w:t>42.5%</w:t>
            </w:r>
          </w:p>
        </w:tc>
        <w:tc>
          <w:tcPr>
            <w:tcW w:type="dxa" w:w="2520"/>
            <w:shd w:val="clear" w:fill="f2f5f9"/>
          </w:tcPr>
          <w:p>
            <w:pPr>
              <w:jc w:val="center"/>
            </w:pPr>
            <w:r/>
            <w:r>
              <w:rPr>
                <w:rFonts w:ascii="Calibri" w:hAnsi="Calibri"/>
                <w:b w:val="0"/>
                <w:color w:val="42566C"/>
                <w:sz w:val="19"/>
              </w:rPr>
              <w:t>33</w:t>
            </w:r>
          </w:p>
        </w:tc>
      </w:tr>
      <w:tr>
        <w:tc>
          <w:tcPr>
            <w:tcW w:type="dxa" w:w="864"/>
            <w:shd w:val="clear" w:fill="ffffff"/>
          </w:tcPr>
          <w:p>
            <w:pPr>
              <w:jc w:val="center"/>
            </w:pPr>
            <w:r/>
            <w:r>
              <w:rPr>
                <w:rFonts w:ascii="Calibri" w:hAnsi="Calibri"/>
                <w:b w:val="0"/>
                <w:color w:val="42566C"/>
                <w:sz w:val="19"/>
              </w:rPr>
              <w:t>25</w:t>
            </w:r>
          </w:p>
        </w:tc>
        <w:tc>
          <w:tcPr>
            <w:tcW w:type="dxa" w:w="2736"/>
            <w:shd w:val="clear" w:fill="ffffff"/>
          </w:tcPr>
          <w:p>
            <w:r/>
            <w:r>
              <w:rPr>
                <w:rFonts w:ascii="Calibri" w:hAnsi="Calibri"/>
                <w:b w:val="0"/>
                <w:color w:val="42566C"/>
                <w:sz w:val="19"/>
              </w:rPr>
              <w:t>Coimbatore</w:t>
            </w:r>
          </w:p>
        </w:tc>
        <w:tc>
          <w:tcPr>
            <w:tcW w:type="dxa" w:w="1584"/>
            <w:shd w:val="clear" w:fill="ffffff"/>
          </w:tcPr>
          <w:p>
            <w:pPr>
              <w:jc w:val="center"/>
            </w:pPr>
            <w:r/>
            <w:r>
              <w:rPr>
                <w:rFonts w:ascii="Calibri" w:hAnsi="Calibri"/>
                <w:b w:val="0"/>
                <w:color w:val="42566C"/>
                <w:sz w:val="19"/>
              </w:rPr>
              <w:t>2.80</w:t>
            </w:r>
          </w:p>
        </w:tc>
        <w:tc>
          <w:tcPr>
            <w:tcW w:type="dxa" w:w="2232"/>
            <w:shd w:val="clear" w:fill="ffffff"/>
          </w:tcPr>
          <w:p>
            <w:pPr>
              <w:jc w:val="center"/>
            </w:pPr>
            <w:r/>
            <w:r>
              <w:rPr>
                <w:rFonts w:ascii="Calibri" w:hAnsi="Calibri"/>
                <w:b w:val="0"/>
                <w:color w:val="42566C"/>
                <w:sz w:val="19"/>
              </w:rPr>
              <w:t>41.3%</w:t>
            </w:r>
          </w:p>
        </w:tc>
        <w:tc>
          <w:tcPr>
            <w:tcW w:type="dxa" w:w="2520"/>
            <w:shd w:val="clear" w:fill="ffffff"/>
          </w:tcPr>
          <w:p>
            <w:pPr>
              <w:jc w:val="center"/>
            </w:pPr>
            <w:r/>
            <w:r>
              <w:rPr>
                <w:rFonts w:ascii="Calibri" w:hAnsi="Calibri"/>
                <w:b w:val="0"/>
                <w:color w:val="42566C"/>
                <w:sz w:val="19"/>
              </w:rPr>
              <w:t>32</w:t>
            </w:r>
          </w:p>
        </w:tc>
      </w:tr>
      <w:tr>
        <w:tc>
          <w:tcPr>
            <w:tcW w:type="dxa" w:w="864"/>
            <w:shd w:val="clear" w:fill="f2f5f9"/>
          </w:tcPr>
          <w:p>
            <w:pPr>
              <w:jc w:val="center"/>
            </w:pPr>
            <w:r/>
            <w:r>
              <w:rPr>
                <w:rFonts w:ascii="Calibri" w:hAnsi="Calibri"/>
                <w:b w:val="0"/>
                <w:color w:val="42566C"/>
                <w:sz w:val="19"/>
              </w:rPr>
              <w:t>26</w:t>
            </w:r>
          </w:p>
        </w:tc>
        <w:tc>
          <w:tcPr>
            <w:tcW w:type="dxa" w:w="2736"/>
            <w:shd w:val="clear" w:fill="f2f5f9"/>
          </w:tcPr>
          <w:p>
            <w:r/>
            <w:r>
              <w:rPr>
                <w:rFonts w:ascii="Calibri" w:hAnsi="Calibri"/>
                <w:b w:val="0"/>
                <w:color w:val="42566C"/>
                <w:sz w:val="19"/>
              </w:rPr>
              <w:t>Aizawl</w:t>
            </w:r>
          </w:p>
        </w:tc>
        <w:tc>
          <w:tcPr>
            <w:tcW w:type="dxa" w:w="1584"/>
            <w:shd w:val="clear" w:fill="f2f5f9"/>
          </w:tcPr>
          <w:p>
            <w:pPr>
              <w:jc w:val="center"/>
            </w:pPr>
            <w:r/>
            <w:r>
              <w:rPr>
                <w:rFonts w:ascii="Calibri" w:hAnsi="Calibri"/>
                <w:b w:val="0"/>
                <w:color w:val="42566C"/>
                <w:sz w:val="19"/>
              </w:rPr>
              <w:t>2.78</w:t>
            </w:r>
          </w:p>
        </w:tc>
        <w:tc>
          <w:tcPr>
            <w:tcW w:type="dxa" w:w="2232"/>
            <w:shd w:val="clear" w:fill="f2f5f9"/>
          </w:tcPr>
          <w:p>
            <w:pPr>
              <w:jc w:val="center"/>
            </w:pPr>
            <w:r/>
            <w:r>
              <w:rPr>
                <w:rFonts w:ascii="Calibri" w:hAnsi="Calibri"/>
                <w:b w:val="0"/>
                <w:color w:val="42566C"/>
                <w:sz w:val="19"/>
              </w:rPr>
              <w:t>39.2%</w:t>
            </w:r>
          </w:p>
        </w:tc>
        <w:tc>
          <w:tcPr>
            <w:tcW w:type="dxa" w:w="2520"/>
            <w:shd w:val="clear" w:fill="f2f5f9"/>
          </w:tcPr>
          <w:p>
            <w:pPr>
              <w:jc w:val="center"/>
            </w:pPr>
            <w:r/>
            <w:r>
              <w:rPr>
                <w:rFonts w:ascii="Calibri" w:hAnsi="Calibri"/>
                <w:b w:val="0"/>
                <w:color w:val="42566C"/>
                <w:sz w:val="19"/>
              </w:rPr>
              <w:t>33</w:t>
            </w:r>
          </w:p>
        </w:tc>
      </w:tr>
      <w:tr>
        <w:tc>
          <w:tcPr>
            <w:tcW w:type="dxa" w:w="9935"/>
            <w:gridSpan w:val="5"/>
            <w:shd w:val="clear" w:fill="f2f5f9"/>
          </w:tcPr>
          <w:p>
            <w:pPr>
              <w:jc w:val="center"/>
            </w:pPr>
            <w:r/>
            <w:r>
              <w:rPr>
                <w:rFonts w:ascii="Calibri" w:hAnsi="Calibri"/>
                <w:b w:val="0"/>
                <w:color w:val="75879D"/>
                <w:sz w:val="19"/>
              </w:rPr>
              <w:t>⋮  16 cities in between  ⋮</w:t>
            </w:r>
          </w:p>
        </w:tc>
      </w:tr>
    </w:tbl>
    <w:p>
      <w:pPr>
        <w:spacing w:after="0"/>
      </w:pPr>
      <w:r>
        <w:rPr>
          <w:rFonts w:ascii="Calibri" w:hAnsi="Calibri"/>
          <w:b w:val="0"/>
          <w:i w:val="0"/>
          <w:color w:val="42566C"/>
          <w:sz w:val="21"/>
        </w:rPr>
        <w:t>The most burdened cities form a contiguous belt — Delhi NCR, the Indo-Gangetic plain and the Jharkhand coal corridor (Jorapokhar, Talcher) — while coastal and southern cities (Aizawl, Kerala’s Kochi and Ernakulam, Coimbatore, Bengaluru) breathe consistently cleaner air.</w:t>
      </w:r>
    </w:p>
    <w:p>
      <w:r>
        <w:br w:type="page"/>
      </w:r>
    </w:p>
    <w:p>
      <w:pPr>
        <w:pStyle w:val="Heading1"/>
      </w:pPr>
      <w:r>
        <w:rPr>
          <w:rFonts w:ascii="Calibri" w:hAnsi="Calibri"/>
          <w:color w:val="16283C"/>
        </w:rPr>
        <w:t>4.  Pollutants vs NAAQS limits</w:t>
      </w:r>
    </w:p>
    <w:p>
      <w:pPr>
        <w:spacing w:after="120"/>
      </w:pPr>
      <w:r>
        <w:rPr>
          <w:rFonts w:ascii="Calibri" w:hAnsi="Calibri"/>
          <w:b w:val="0"/>
          <w:i w:val="0"/>
          <w:color w:val="42566C"/>
          <w:sz w:val="21"/>
        </w:rPr>
        <w:t>Each pollutant is benchmarked against the Indian NAAQS limits the workbook uses: a 24-hour limit (the “exceedance” test behind the drilldown’s Percentage-of-Days chart) and an annual limit (the reference line in the Avg-Concentration chart). Particulates dominate both tests; CO clears its annual limit on average, but only marginally.</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40"/>
            <w:shd w:val="clear" w:fill="16283c"/>
          </w:tcPr>
          <w:p>
            <w:r/>
            <w:r>
              <w:rPr>
                <w:rFonts w:ascii="Calibri" w:hAnsi="Calibri"/>
                <w:b/>
                <w:color w:val="FFFFFF"/>
                <w:sz w:val="19"/>
              </w:rPr>
              <w:t>Pollutant</w:t>
            </w:r>
          </w:p>
        </w:tc>
        <w:tc>
          <w:tcPr>
            <w:tcW w:type="dxa" w:w="1296"/>
            <w:shd w:val="clear" w:fill="16283c"/>
          </w:tcPr>
          <w:p>
            <w:pPr>
              <w:jc w:val="center"/>
            </w:pPr>
            <w:r/>
            <w:r>
              <w:rPr>
                <w:rFonts w:ascii="Calibri" w:hAnsi="Calibri"/>
                <w:b/>
                <w:color w:val="FFFFFF"/>
                <w:sz w:val="19"/>
              </w:rPr>
              <w:t>Mean</w:t>
            </w:r>
          </w:p>
        </w:tc>
        <w:tc>
          <w:tcPr>
            <w:tcW w:type="dxa" w:w="1296"/>
            <w:shd w:val="clear" w:fill="16283c"/>
          </w:tcPr>
          <w:p>
            <w:pPr>
              <w:jc w:val="center"/>
            </w:pPr>
            <w:r/>
            <w:r>
              <w:rPr>
                <w:rFonts w:ascii="Calibri" w:hAnsi="Calibri"/>
                <w:b/>
                <w:color w:val="FFFFFF"/>
                <w:sz w:val="19"/>
              </w:rPr>
              <w:t>Median</w:t>
            </w:r>
          </w:p>
        </w:tc>
        <w:tc>
          <w:tcPr>
            <w:tcW w:type="dxa" w:w="1368"/>
            <w:shd w:val="clear" w:fill="16283c"/>
          </w:tcPr>
          <w:p>
            <w:pPr>
              <w:jc w:val="center"/>
            </w:pPr>
            <w:r/>
            <w:r>
              <w:rPr>
                <w:rFonts w:ascii="Calibri" w:hAnsi="Calibri"/>
                <w:b/>
                <w:color w:val="FFFFFF"/>
                <w:sz w:val="19"/>
              </w:rPr>
              <w:t>24-h limit</w:t>
            </w:r>
          </w:p>
        </w:tc>
        <w:tc>
          <w:tcPr>
            <w:tcW w:type="dxa" w:w="1512"/>
            <w:shd w:val="clear" w:fill="16283c"/>
          </w:tcPr>
          <w:p>
            <w:pPr>
              <w:jc w:val="center"/>
            </w:pPr>
            <w:r/>
            <w:r>
              <w:rPr>
                <w:rFonts w:ascii="Calibri" w:hAnsi="Calibri"/>
                <w:b/>
                <w:color w:val="FFFFFF"/>
                <w:sz w:val="19"/>
              </w:rPr>
              <w:t>Days above</w:t>
            </w:r>
          </w:p>
        </w:tc>
        <w:tc>
          <w:tcPr>
            <w:tcW w:type="dxa" w:w="1440"/>
            <w:shd w:val="clear" w:fill="16283c"/>
          </w:tcPr>
          <w:p>
            <w:pPr>
              <w:jc w:val="center"/>
            </w:pPr>
            <w:r/>
            <w:r>
              <w:rPr>
                <w:rFonts w:ascii="Calibri" w:hAnsi="Calibri"/>
                <w:b/>
                <w:color w:val="FFFFFF"/>
                <w:sz w:val="19"/>
              </w:rPr>
              <w:t>Annual limit</w:t>
            </w:r>
          </w:p>
        </w:tc>
        <w:tc>
          <w:tcPr>
            <w:tcW w:type="dxa" w:w="1584"/>
            <w:shd w:val="clear" w:fill="16283c"/>
          </w:tcPr>
          <w:p>
            <w:pPr>
              <w:jc w:val="center"/>
            </w:pPr>
            <w:r/>
            <w:r>
              <w:rPr>
                <w:rFonts w:ascii="Calibri" w:hAnsi="Calibri"/>
                <w:b/>
                <w:color w:val="FFFFFF"/>
                <w:sz w:val="19"/>
              </w:rPr>
              <w:t>Mean vs annual</w:t>
            </w:r>
          </w:p>
        </w:tc>
      </w:tr>
      <w:tr>
        <w:tc>
          <w:tcPr>
            <w:tcW w:type="dxa" w:w="1440"/>
            <w:shd w:val="clear" w:fill="ffffff"/>
          </w:tcPr>
          <w:p>
            <w:r/>
            <w:r>
              <w:rPr>
                <w:rFonts w:ascii="Calibri" w:hAnsi="Calibri"/>
                <w:b w:val="0"/>
                <w:color w:val="42566C"/>
                <w:sz w:val="19"/>
              </w:rPr>
              <w:t>PM2.5</w:t>
            </w:r>
          </w:p>
        </w:tc>
        <w:tc>
          <w:tcPr>
            <w:tcW w:type="dxa" w:w="1296"/>
            <w:shd w:val="clear" w:fill="ffffff"/>
          </w:tcPr>
          <w:p>
            <w:pPr>
              <w:jc w:val="center"/>
            </w:pPr>
            <w:r/>
            <w:r>
              <w:rPr>
                <w:rFonts w:ascii="Calibri" w:hAnsi="Calibri"/>
                <w:b w:val="0"/>
                <w:color w:val="42566C"/>
                <w:sz w:val="19"/>
              </w:rPr>
              <w:t>98.6</w:t>
            </w:r>
          </w:p>
        </w:tc>
        <w:tc>
          <w:tcPr>
            <w:tcW w:type="dxa" w:w="1296"/>
            <w:shd w:val="clear" w:fill="ffffff"/>
          </w:tcPr>
          <w:p>
            <w:pPr>
              <w:jc w:val="center"/>
            </w:pPr>
            <w:r/>
            <w:r>
              <w:rPr>
                <w:rFonts w:ascii="Calibri" w:hAnsi="Calibri"/>
                <w:b w:val="0"/>
                <w:color w:val="42566C"/>
                <w:sz w:val="19"/>
              </w:rPr>
              <w:t>58.9</w:t>
            </w:r>
          </w:p>
        </w:tc>
        <w:tc>
          <w:tcPr>
            <w:tcW w:type="dxa" w:w="1368"/>
            <w:shd w:val="clear" w:fill="ffffff"/>
          </w:tcPr>
          <w:p>
            <w:pPr>
              <w:jc w:val="center"/>
            </w:pPr>
            <w:r/>
            <w:r>
              <w:rPr>
                <w:rFonts w:ascii="Calibri" w:hAnsi="Calibri"/>
                <w:b w:val="0"/>
                <w:color w:val="42566C"/>
                <w:sz w:val="19"/>
              </w:rPr>
              <w:t>60</w:t>
            </w:r>
          </w:p>
        </w:tc>
        <w:tc>
          <w:tcPr>
            <w:tcW w:type="dxa" w:w="1512"/>
            <w:shd w:val="clear" w:fill="ffffff"/>
          </w:tcPr>
          <w:p>
            <w:pPr>
              <w:jc w:val="center"/>
            </w:pPr>
            <w:r/>
            <w:r>
              <w:rPr>
                <w:rFonts w:ascii="Calibri" w:hAnsi="Calibri"/>
                <w:b w:val="0"/>
                <w:color w:val="42566C"/>
                <w:sz w:val="19"/>
              </w:rPr>
              <w:t>49.3%</w:t>
            </w:r>
          </w:p>
        </w:tc>
        <w:tc>
          <w:tcPr>
            <w:tcW w:type="dxa" w:w="1440"/>
            <w:shd w:val="clear" w:fill="ffffff"/>
          </w:tcPr>
          <w:p>
            <w:pPr>
              <w:jc w:val="center"/>
            </w:pPr>
            <w:r/>
            <w:r>
              <w:rPr>
                <w:rFonts w:ascii="Calibri" w:hAnsi="Calibri"/>
                <w:b w:val="0"/>
                <w:color w:val="42566C"/>
                <w:sz w:val="19"/>
              </w:rPr>
              <w:t>40</w:t>
            </w:r>
          </w:p>
        </w:tc>
        <w:tc>
          <w:tcPr>
            <w:tcW w:type="dxa" w:w="1584"/>
            <w:shd w:val="clear" w:fill="ffffff"/>
          </w:tcPr>
          <w:p>
            <w:pPr>
              <w:jc w:val="center"/>
            </w:pPr>
            <w:r/>
            <w:r>
              <w:rPr>
                <w:rFonts w:ascii="Calibri" w:hAnsi="Calibri"/>
                <w:b w:val="0"/>
                <w:color w:val="42566C"/>
                <w:sz w:val="19"/>
              </w:rPr>
              <w:t>246%</w:t>
            </w:r>
          </w:p>
        </w:tc>
      </w:tr>
      <w:tr>
        <w:tc>
          <w:tcPr>
            <w:tcW w:type="dxa" w:w="1440"/>
            <w:shd w:val="clear" w:fill="f2f5f9"/>
          </w:tcPr>
          <w:p>
            <w:r/>
            <w:r>
              <w:rPr>
                <w:rFonts w:ascii="Calibri" w:hAnsi="Calibri"/>
                <w:b w:val="0"/>
                <w:color w:val="42566C"/>
                <w:sz w:val="19"/>
              </w:rPr>
              <w:t>PM10</w:t>
            </w:r>
          </w:p>
        </w:tc>
        <w:tc>
          <w:tcPr>
            <w:tcW w:type="dxa" w:w="1296"/>
            <w:shd w:val="clear" w:fill="f2f5f9"/>
          </w:tcPr>
          <w:p>
            <w:pPr>
              <w:jc w:val="center"/>
            </w:pPr>
            <w:r/>
            <w:r>
              <w:rPr>
                <w:rFonts w:ascii="Calibri" w:hAnsi="Calibri"/>
                <w:b w:val="0"/>
                <w:color w:val="42566C"/>
                <w:sz w:val="19"/>
              </w:rPr>
              <w:t>121.8</w:t>
            </w:r>
          </w:p>
        </w:tc>
        <w:tc>
          <w:tcPr>
            <w:tcW w:type="dxa" w:w="1296"/>
            <w:shd w:val="clear" w:fill="f2f5f9"/>
          </w:tcPr>
          <w:p>
            <w:pPr>
              <w:jc w:val="center"/>
            </w:pPr>
            <w:r/>
            <w:r>
              <w:rPr>
                <w:rFonts w:ascii="Calibri" w:hAnsi="Calibri"/>
                <w:b w:val="0"/>
                <w:color w:val="42566C"/>
                <w:sz w:val="19"/>
              </w:rPr>
              <w:t>75.8</w:t>
            </w:r>
          </w:p>
        </w:tc>
        <w:tc>
          <w:tcPr>
            <w:tcW w:type="dxa" w:w="1368"/>
            <w:shd w:val="clear" w:fill="f2f5f9"/>
          </w:tcPr>
          <w:p>
            <w:pPr>
              <w:jc w:val="center"/>
            </w:pPr>
            <w:r/>
            <w:r>
              <w:rPr>
                <w:rFonts w:ascii="Calibri" w:hAnsi="Calibri"/>
                <w:b w:val="0"/>
                <w:color w:val="42566C"/>
                <w:sz w:val="19"/>
              </w:rPr>
              <w:t>100</w:t>
            </w:r>
          </w:p>
        </w:tc>
        <w:tc>
          <w:tcPr>
            <w:tcW w:type="dxa" w:w="1512"/>
            <w:shd w:val="clear" w:fill="f2f5f9"/>
          </w:tcPr>
          <w:p>
            <w:pPr>
              <w:jc w:val="center"/>
            </w:pPr>
            <w:r/>
            <w:r>
              <w:rPr>
                <w:rFonts w:ascii="Calibri" w:hAnsi="Calibri"/>
                <w:b w:val="0"/>
                <w:color w:val="42566C"/>
                <w:sz w:val="19"/>
              </w:rPr>
              <w:t>39.2%</w:t>
            </w:r>
          </w:p>
        </w:tc>
        <w:tc>
          <w:tcPr>
            <w:tcW w:type="dxa" w:w="1440"/>
            <w:shd w:val="clear" w:fill="f2f5f9"/>
          </w:tcPr>
          <w:p>
            <w:pPr>
              <w:jc w:val="center"/>
            </w:pPr>
            <w:r/>
            <w:r>
              <w:rPr>
                <w:rFonts w:ascii="Calibri" w:hAnsi="Calibri"/>
                <w:b w:val="0"/>
                <w:color w:val="42566C"/>
                <w:sz w:val="19"/>
              </w:rPr>
              <w:t>60</w:t>
            </w:r>
          </w:p>
        </w:tc>
        <w:tc>
          <w:tcPr>
            <w:tcW w:type="dxa" w:w="1584"/>
            <w:shd w:val="clear" w:fill="f2f5f9"/>
          </w:tcPr>
          <w:p>
            <w:pPr>
              <w:jc w:val="center"/>
            </w:pPr>
            <w:r/>
            <w:r>
              <w:rPr>
                <w:rFonts w:ascii="Calibri" w:hAnsi="Calibri"/>
                <w:b w:val="0"/>
                <w:color w:val="42566C"/>
                <w:sz w:val="19"/>
              </w:rPr>
              <w:t>203%</w:t>
            </w:r>
          </w:p>
        </w:tc>
      </w:tr>
      <w:tr>
        <w:tc>
          <w:tcPr>
            <w:tcW w:type="dxa" w:w="1440"/>
            <w:shd w:val="clear" w:fill="ffffff"/>
          </w:tcPr>
          <w:p>
            <w:r/>
            <w:r>
              <w:rPr>
                <w:rFonts w:ascii="Calibri" w:hAnsi="Calibri"/>
                <w:b w:val="0"/>
                <w:color w:val="42566C"/>
                <w:sz w:val="19"/>
              </w:rPr>
              <w:t>NO2</w:t>
            </w:r>
          </w:p>
        </w:tc>
        <w:tc>
          <w:tcPr>
            <w:tcW w:type="dxa" w:w="1296"/>
            <w:shd w:val="clear" w:fill="ffffff"/>
          </w:tcPr>
          <w:p>
            <w:pPr>
              <w:jc w:val="center"/>
            </w:pPr>
            <w:r/>
            <w:r>
              <w:rPr>
                <w:rFonts w:ascii="Calibri" w:hAnsi="Calibri"/>
                <w:b w:val="0"/>
                <w:color w:val="42566C"/>
                <w:sz w:val="19"/>
              </w:rPr>
              <w:t>25.0</w:t>
            </w:r>
          </w:p>
        </w:tc>
        <w:tc>
          <w:tcPr>
            <w:tcW w:type="dxa" w:w="1296"/>
            <w:shd w:val="clear" w:fill="ffffff"/>
          </w:tcPr>
          <w:p>
            <w:pPr>
              <w:jc w:val="center"/>
            </w:pPr>
            <w:r/>
            <w:r>
              <w:rPr>
                <w:rFonts w:ascii="Calibri" w:hAnsi="Calibri"/>
                <w:b w:val="0"/>
                <w:color w:val="42566C"/>
                <w:sz w:val="19"/>
              </w:rPr>
              <w:t>16.4</w:t>
            </w:r>
          </w:p>
        </w:tc>
        <w:tc>
          <w:tcPr>
            <w:tcW w:type="dxa" w:w="1368"/>
            <w:shd w:val="clear" w:fill="ffffff"/>
          </w:tcPr>
          <w:p>
            <w:pPr>
              <w:jc w:val="center"/>
            </w:pPr>
            <w:r/>
            <w:r>
              <w:rPr>
                <w:rFonts w:ascii="Calibri" w:hAnsi="Calibri"/>
                <w:b w:val="0"/>
                <w:color w:val="42566C"/>
                <w:sz w:val="19"/>
              </w:rPr>
              <w:t>80</w:t>
            </w:r>
          </w:p>
        </w:tc>
        <w:tc>
          <w:tcPr>
            <w:tcW w:type="dxa" w:w="1512"/>
            <w:shd w:val="clear" w:fill="ffffff"/>
          </w:tcPr>
          <w:p>
            <w:pPr>
              <w:jc w:val="center"/>
            </w:pPr>
            <w:r/>
            <w:r>
              <w:rPr>
                <w:rFonts w:ascii="Calibri" w:hAnsi="Calibri"/>
                <w:b w:val="0"/>
                <w:color w:val="42566C"/>
                <w:sz w:val="19"/>
              </w:rPr>
              <w:t>4.2%</w:t>
            </w:r>
          </w:p>
        </w:tc>
        <w:tc>
          <w:tcPr>
            <w:tcW w:type="dxa" w:w="1440"/>
            <w:shd w:val="clear" w:fill="ffffff"/>
          </w:tcPr>
          <w:p>
            <w:pPr>
              <w:jc w:val="center"/>
            </w:pPr>
            <w:r/>
            <w:r>
              <w:rPr>
                <w:rFonts w:ascii="Calibri" w:hAnsi="Calibri"/>
                <w:b w:val="0"/>
                <w:color w:val="42566C"/>
                <w:sz w:val="19"/>
              </w:rPr>
              <w:t>40</w:t>
            </w:r>
          </w:p>
        </w:tc>
        <w:tc>
          <w:tcPr>
            <w:tcW w:type="dxa" w:w="1584"/>
            <w:shd w:val="clear" w:fill="ffffff"/>
          </w:tcPr>
          <w:p>
            <w:pPr>
              <w:jc w:val="center"/>
            </w:pPr>
            <w:r/>
            <w:r>
              <w:rPr>
                <w:rFonts w:ascii="Calibri" w:hAnsi="Calibri"/>
                <w:b w:val="0"/>
                <w:color w:val="42566C"/>
                <w:sz w:val="19"/>
              </w:rPr>
              <w:t>63%</w:t>
            </w:r>
          </w:p>
        </w:tc>
      </w:tr>
      <w:tr>
        <w:tc>
          <w:tcPr>
            <w:tcW w:type="dxa" w:w="1440"/>
            <w:shd w:val="clear" w:fill="f2f5f9"/>
          </w:tcPr>
          <w:p>
            <w:r/>
            <w:r>
              <w:rPr>
                <w:rFonts w:ascii="Calibri" w:hAnsi="Calibri"/>
                <w:b w:val="0"/>
                <w:color w:val="42566C"/>
                <w:sz w:val="19"/>
              </w:rPr>
              <w:t>CO</w:t>
            </w:r>
          </w:p>
        </w:tc>
        <w:tc>
          <w:tcPr>
            <w:tcW w:type="dxa" w:w="1296"/>
            <w:shd w:val="clear" w:fill="f2f5f9"/>
          </w:tcPr>
          <w:p>
            <w:pPr>
              <w:jc w:val="center"/>
            </w:pPr>
            <w:r/>
            <w:r>
              <w:rPr>
                <w:rFonts w:ascii="Calibri" w:hAnsi="Calibri"/>
                <w:b w:val="0"/>
                <w:color w:val="42566C"/>
                <w:sz w:val="19"/>
              </w:rPr>
              <w:t>1,113.2</w:t>
            </w:r>
          </w:p>
        </w:tc>
        <w:tc>
          <w:tcPr>
            <w:tcW w:type="dxa" w:w="1296"/>
            <w:shd w:val="clear" w:fill="f2f5f9"/>
          </w:tcPr>
          <w:p>
            <w:pPr>
              <w:jc w:val="center"/>
            </w:pPr>
            <w:r/>
            <w:r>
              <w:rPr>
                <w:rFonts w:ascii="Calibri" w:hAnsi="Calibri"/>
                <w:b w:val="0"/>
                <w:color w:val="42566C"/>
                <w:sz w:val="19"/>
              </w:rPr>
              <w:t>701.0</w:t>
            </w:r>
          </w:p>
        </w:tc>
        <w:tc>
          <w:tcPr>
            <w:tcW w:type="dxa" w:w="1368"/>
            <w:shd w:val="clear" w:fill="f2f5f9"/>
          </w:tcPr>
          <w:p>
            <w:pPr>
              <w:jc w:val="center"/>
            </w:pPr>
            <w:r/>
            <w:r>
              <w:rPr>
                <w:rFonts w:ascii="Calibri" w:hAnsi="Calibri"/>
                <w:b w:val="0"/>
                <w:color w:val="42566C"/>
                <w:sz w:val="19"/>
              </w:rPr>
              <w:t>4,000</w:t>
            </w:r>
          </w:p>
        </w:tc>
        <w:tc>
          <w:tcPr>
            <w:tcW w:type="dxa" w:w="1512"/>
            <w:shd w:val="clear" w:fill="f2f5f9"/>
          </w:tcPr>
          <w:p>
            <w:pPr>
              <w:jc w:val="center"/>
            </w:pPr>
            <w:r/>
            <w:r>
              <w:rPr>
                <w:rFonts w:ascii="Calibri" w:hAnsi="Calibri"/>
                <w:b w:val="0"/>
                <w:color w:val="42566C"/>
                <w:sz w:val="19"/>
              </w:rPr>
              <w:t>3.2%</w:t>
            </w:r>
          </w:p>
        </w:tc>
        <w:tc>
          <w:tcPr>
            <w:tcW w:type="dxa" w:w="1440"/>
            <w:shd w:val="clear" w:fill="f2f5f9"/>
          </w:tcPr>
          <w:p>
            <w:pPr>
              <w:jc w:val="center"/>
            </w:pPr>
            <w:r/>
            <w:r>
              <w:rPr>
                <w:rFonts w:ascii="Calibri" w:hAnsi="Calibri"/>
                <w:b w:val="0"/>
                <w:color w:val="42566C"/>
                <w:sz w:val="19"/>
              </w:rPr>
              <w:t>1,000</w:t>
            </w:r>
          </w:p>
        </w:tc>
        <w:tc>
          <w:tcPr>
            <w:tcW w:type="dxa" w:w="1584"/>
            <w:shd w:val="clear" w:fill="f2f5f9"/>
          </w:tcPr>
          <w:p>
            <w:pPr>
              <w:jc w:val="center"/>
            </w:pPr>
            <w:r/>
            <w:r>
              <w:rPr>
                <w:rFonts w:ascii="Calibri" w:hAnsi="Calibri"/>
                <w:b w:val="0"/>
                <w:color w:val="42566C"/>
                <w:sz w:val="19"/>
              </w:rPr>
              <w:t>111%</w:t>
            </w:r>
          </w:p>
        </w:tc>
      </w:tr>
      <w:tr>
        <w:tc>
          <w:tcPr>
            <w:tcW w:type="dxa" w:w="1440"/>
            <w:shd w:val="clear" w:fill="ffffff"/>
          </w:tcPr>
          <w:p>
            <w:r/>
            <w:r>
              <w:rPr>
                <w:rFonts w:ascii="Calibri" w:hAnsi="Calibri"/>
                <w:b w:val="0"/>
                <w:color w:val="42566C"/>
                <w:sz w:val="19"/>
              </w:rPr>
              <w:t>SO2</w:t>
            </w:r>
          </w:p>
        </w:tc>
        <w:tc>
          <w:tcPr>
            <w:tcW w:type="dxa" w:w="1296"/>
            <w:shd w:val="clear" w:fill="ffffff"/>
          </w:tcPr>
          <w:p>
            <w:pPr>
              <w:jc w:val="center"/>
            </w:pPr>
            <w:r/>
            <w:r>
              <w:rPr>
                <w:rFonts w:ascii="Calibri" w:hAnsi="Calibri"/>
                <w:b w:val="0"/>
                <w:color w:val="42566C"/>
                <w:sz w:val="19"/>
              </w:rPr>
              <w:t>16.0</w:t>
            </w:r>
          </w:p>
        </w:tc>
        <w:tc>
          <w:tcPr>
            <w:tcW w:type="dxa" w:w="1296"/>
            <w:shd w:val="clear" w:fill="ffffff"/>
          </w:tcPr>
          <w:p>
            <w:pPr>
              <w:jc w:val="center"/>
            </w:pPr>
            <w:r/>
            <w:r>
              <w:rPr>
                <w:rFonts w:ascii="Calibri" w:hAnsi="Calibri"/>
                <w:b w:val="0"/>
                <w:color w:val="42566C"/>
                <w:sz w:val="19"/>
              </w:rPr>
              <w:t>8.0</w:t>
            </w:r>
          </w:p>
        </w:tc>
        <w:tc>
          <w:tcPr>
            <w:tcW w:type="dxa" w:w="1368"/>
            <w:shd w:val="clear" w:fill="ffffff"/>
          </w:tcPr>
          <w:p>
            <w:pPr>
              <w:jc w:val="center"/>
            </w:pPr>
            <w:r/>
            <w:r>
              <w:rPr>
                <w:rFonts w:ascii="Calibri" w:hAnsi="Calibri"/>
                <w:b w:val="0"/>
                <w:color w:val="42566C"/>
                <w:sz w:val="19"/>
              </w:rPr>
              <w:t>80</w:t>
            </w:r>
          </w:p>
        </w:tc>
        <w:tc>
          <w:tcPr>
            <w:tcW w:type="dxa" w:w="1512"/>
            <w:shd w:val="clear" w:fill="ffffff"/>
          </w:tcPr>
          <w:p>
            <w:pPr>
              <w:jc w:val="center"/>
            </w:pPr>
            <w:r/>
            <w:r>
              <w:rPr>
                <w:rFonts w:ascii="Calibri" w:hAnsi="Calibri"/>
                <w:b w:val="0"/>
                <w:color w:val="42566C"/>
                <w:sz w:val="19"/>
              </w:rPr>
              <w:t>2.8%</w:t>
            </w:r>
          </w:p>
        </w:tc>
        <w:tc>
          <w:tcPr>
            <w:tcW w:type="dxa" w:w="1440"/>
            <w:shd w:val="clear" w:fill="ffffff"/>
          </w:tcPr>
          <w:p>
            <w:pPr>
              <w:jc w:val="center"/>
            </w:pPr>
            <w:r/>
            <w:r>
              <w:rPr>
                <w:rFonts w:ascii="Calibri" w:hAnsi="Calibri"/>
                <w:b w:val="0"/>
                <w:color w:val="42566C"/>
                <w:sz w:val="19"/>
              </w:rPr>
              <w:t>50</w:t>
            </w:r>
          </w:p>
        </w:tc>
        <w:tc>
          <w:tcPr>
            <w:tcW w:type="dxa" w:w="1584"/>
            <w:shd w:val="clear" w:fill="ffffff"/>
          </w:tcPr>
          <w:p>
            <w:pPr>
              <w:jc w:val="center"/>
            </w:pPr>
            <w:r/>
            <w:r>
              <w:rPr>
                <w:rFonts w:ascii="Calibri" w:hAnsi="Calibri"/>
                <w:b w:val="0"/>
                <w:color w:val="42566C"/>
                <w:sz w:val="19"/>
              </w:rPr>
              <w:t>32%</w:t>
            </w:r>
          </w:p>
        </w:tc>
      </w:tr>
      <w:tr>
        <w:tc>
          <w:tcPr>
            <w:tcW w:type="dxa" w:w="1440"/>
            <w:shd w:val="clear" w:fill="f2f5f9"/>
          </w:tcPr>
          <w:p>
            <w:r/>
            <w:r>
              <w:rPr>
                <w:rFonts w:ascii="Calibri" w:hAnsi="Calibri"/>
                <w:b w:val="0"/>
                <w:color w:val="42566C"/>
                <w:sz w:val="19"/>
              </w:rPr>
              <w:t>NO</w:t>
            </w:r>
          </w:p>
        </w:tc>
        <w:tc>
          <w:tcPr>
            <w:tcW w:type="dxa" w:w="1296"/>
            <w:shd w:val="clear" w:fill="f2f5f9"/>
          </w:tcPr>
          <w:p>
            <w:pPr>
              <w:jc w:val="center"/>
            </w:pPr>
            <w:r/>
            <w:r>
              <w:rPr>
                <w:rFonts w:ascii="Calibri" w:hAnsi="Calibri"/>
                <w:b w:val="0"/>
                <w:color w:val="42566C"/>
                <w:sz w:val="19"/>
              </w:rPr>
              <w:t>6.0</w:t>
            </w:r>
          </w:p>
        </w:tc>
        <w:tc>
          <w:tcPr>
            <w:tcW w:type="dxa" w:w="1296"/>
            <w:shd w:val="clear" w:fill="f2f5f9"/>
          </w:tcPr>
          <w:p>
            <w:pPr>
              <w:jc w:val="center"/>
            </w:pPr>
            <w:r/>
            <w:r>
              <w:rPr>
                <w:rFonts w:ascii="Calibri" w:hAnsi="Calibri"/>
                <w:b w:val="0"/>
                <w:color w:val="42566C"/>
                <w:sz w:val="19"/>
              </w:rPr>
              <w:t>0.0</w:t>
            </w:r>
          </w:p>
        </w:tc>
        <w:tc>
          <w:tcPr>
            <w:tcW w:type="dxa" w:w="1368"/>
            <w:shd w:val="clear" w:fill="f2f5f9"/>
          </w:tcPr>
          <w:p>
            <w:pPr>
              <w:jc w:val="center"/>
            </w:pPr>
            <w:r/>
            <w:r>
              <w:rPr>
                <w:rFonts w:ascii="Calibri" w:hAnsi="Calibri"/>
                <w:b w:val="0"/>
                <w:color w:val="42566C"/>
                <w:sz w:val="19"/>
              </w:rPr>
              <w:t>80</w:t>
            </w:r>
          </w:p>
        </w:tc>
        <w:tc>
          <w:tcPr>
            <w:tcW w:type="dxa" w:w="1512"/>
            <w:shd w:val="clear" w:fill="f2f5f9"/>
          </w:tcPr>
          <w:p>
            <w:pPr>
              <w:jc w:val="center"/>
            </w:pPr>
            <w:r/>
            <w:r>
              <w:rPr>
                <w:rFonts w:ascii="Calibri" w:hAnsi="Calibri"/>
                <w:b w:val="0"/>
                <w:color w:val="42566C"/>
                <w:sz w:val="19"/>
              </w:rPr>
              <w:t>1.9%</w:t>
            </w:r>
          </w:p>
        </w:tc>
        <w:tc>
          <w:tcPr>
            <w:tcW w:type="dxa" w:w="1440"/>
            <w:shd w:val="clear" w:fill="f2f5f9"/>
          </w:tcPr>
          <w:p>
            <w:pPr>
              <w:jc w:val="center"/>
            </w:pPr>
            <w:r/>
            <w:r>
              <w:rPr>
                <w:rFonts w:ascii="Calibri" w:hAnsi="Calibri"/>
                <w:b w:val="0"/>
                <w:color w:val="42566C"/>
                <w:sz w:val="19"/>
              </w:rPr>
              <w:t>40</w:t>
            </w:r>
          </w:p>
        </w:tc>
        <w:tc>
          <w:tcPr>
            <w:tcW w:type="dxa" w:w="1584"/>
            <w:shd w:val="clear" w:fill="f2f5f9"/>
          </w:tcPr>
          <w:p>
            <w:pPr>
              <w:jc w:val="center"/>
            </w:pPr>
            <w:r/>
            <w:r>
              <w:rPr>
                <w:rFonts w:ascii="Calibri" w:hAnsi="Calibri"/>
                <w:b w:val="0"/>
                <w:color w:val="42566C"/>
                <w:sz w:val="19"/>
              </w:rPr>
              <w:t>15%</w:t>
            </w:r>
          </w:p>
        </w:tc>
      </w:tr>
      <w:tr>
        <w:tc>
          <w:tcPr>
            <w:tcW w:type="dxa" w:w="1440"/>
            <w:shd w:val="clear" w:fill="ffffff"/>
          </w:tcPr>
          <w:p>
            <w:r/>
            <w:r>
              <w:rPr>
                <w:rFonts w:ascii="Calibri" w:hAnsi="Calibri"/>
                <w:b w:val="0"/>
                <w:color w:val="42566C"/>
                <w:sz w:val="19"/>
              </w:rPr>
              <w:t>O3</w:t>
            </w:r>
          </w:p>
        </w:tc>
        <w:tc>
          <w:tcPr>
            <w:tcW w:type="dxa" w:w="1296"/>
            <w:shd w:val="clear" w:fill="ffffff"/>
          </w:tcPr>
          <w:p>
            <w:pPr>
              <w:jc w:val="center"/>
            </w:pPr>
            <w:r/>
            <w:r>
              <w:rPr>
                <w:rFonts w:ascii="Calibri" w:hAnsi="Calibri"/>
                <w:b w:val="0"/>
                <w:color w:val="42566C"/>
                <w:sz w:val="19"/>
              </w:rPr>
              <w:t>35.1</w:t>
            </w:r>
          </w:p>
        </w:tc>
        <w:tc>
          <w:tcPr>
            <w:tcW w:type="dxa" w:w="1296"/>
            <w:shd w:val="clear" w:fill="ffffff"/>
          </w:tcPr>
          <w:p>
            <w:pPr>
              <w:jc w:val="center"/>
            </w:pPr>
            <w:r/>
            <w:r>
              <w:rPr>
                <w:rFonts w:ascii="Calibri" w:hAnsi="Calibri"/>
                <w:b w:val="0"/>
                <w:color w:val="42566C"/>
                <w:sz w:val="19"/>
              </w:rPr>
              <w:t>28.2</w:t>
            </w:r>
          </w:p>
        </w:tc>
        <w:tc>
          <w:tcPr>
            <w:tcW w:type="dxa" w:w="1368"/>
            <w:shd w:val="clear" w:fill="ffffff"/>
          </w:tcPr>
          <w:p>
            <w:pPr>
              <w:jc w:val="center"/>
            </w:pPr>
            <w:r/>
            <w:r>
              <w:rPr>
                <w:rFonts w:ascii="Calibri" w:hAnsi="Calibri"/>
                <w:b w:val="0"/>
                <w:color w:val="42566C"/>
                <w:sz w:val="19"/>
              </w:rPr>
              <w:t>180</w:t>
            </w:r>
          </w:p>
        </w:tc>
        <w:tc>
          <w:tcPr>
            <w:tcW w:type="dxa" w:w="1512"/>
            <w:shd w:val="clear" w:fill="ffffff"/>
          </w:tcPr>
          <w:p>
            <w:pPr>
              <w:jc w:val="center"/>
            </w:pPr>
            <w:r/>
            <w:r>
              <w:rPr>
                <w:rFonts w:ascii="Calibri" w:hAnsi="Calibri"/>
                <w:b w:val="0"/>
                <w:color w:val="42566C"/>
                <w:sz w:val="19"/>
              </w:rPr>
              <w:t>0.1%</w:t>
            </w:r>
          </w:p>
        </w:tc>
        <w:tc>
          <w:tcPr>
            <w:tcW w:type="dxa" w:w="1440"/>
            <w:shd w:val="clear" w:fill="ffffff"/>
          </w:tcPr>
          <w:p>
            <w:pPr>
              <w:jc w:val="center"/>
            </w:pPr>
            <w:r/>
            <w:r>
              <w:rPr>
                <w:rFonts w:ascii="Calibri" w:hAnsi="Calibri"/>
                <w:b w:val="0"/>
                <w:color w:val="42566C"/>
                <w:sz w:val="19"/>
              </w:rPr>
              <w:t>100</w:t>
            </w:r>
          </w:p>
        </w:tc>
        <w:tc>
          <w:tcPr>
            <w:tcW w:type="dxa" w:w="1584"/>
            <w:shd w:val="clear" w:fill="ffffff"/>
          </w:tcPr>
          <w:p>
            <w:pPr>
              <w:jc w:val="center"/>
            </w:pPr>
            <w:r/>
            <w:r>
              <w:rPr>
                <w:rFonts w:ascii="Calibri" w:hAnsi="Calibri"/>
                <w:b w:val="0"/>
                <w:color w:val="42566C"/>
                <w:sz w:val="19"/>
              </w:rPr>
              <w:t>35%</w:t>
            </w:r>
          </w:p>
        </w:tc>
      </w:tr>
      <w:tr>
        <w:tc>
          <w:tcPr>
            <w:tcW w:type="dxa" w:w="1440"/>
            <w:shd w:val="clear" w:fill="f2f5f9"/>
          </w:tcPr>
          <w:p>
            <w:r/>
            <w:r>
              <w:rPr>
                <w:rFonts w:ascii="Calibri" w:hAnsi="Calibri"/>
                <w:b w:val="0"/>
                <w:color w:val="42566C"/>
                <w:sz w:val="19"/>
              </w:rPr>
              <w:t>NH3</w:t>
            </w:r>
          </w:p>
        </w:tc>
        <w:tc>
          <w:tcPr>
            <w:tcW w:type="dxa" w:w="1296"/>
            <w:shd w:val="clear" w:fill="f2f5f9"/>
          </w:tcPr>
          <w:p>
            <w:pPr>
              <w:jc w:val="center"/>
            </w:pPr>
            <w:r/>
            <w:r>
              <w:rPr>
                <w:rFonts w:ascii="Calibri" w:hAnsi="Calibri"/>
                <w:b w:val="0"/>
                <w:color w:val="42566C"/>
                <w:sz w:val="19"/>
              </w:rPr>
              <w:t>12.1</w:t>
            </w:r>
          </w:p>
        </w:tc>
        <w:tc>
          <w:tcPr>
            <w:tcW w:type="dxa" w:w="1296"/>
            <w:shd w:val="clear" w:fill="f2f5f9"/>
          </w:tcPr>
          <w:p>
            <w:pPr>
              <w:jc w:val="center"/>
            </w:pPr>
            <w:r/>
            <w:r>
              <w:rPr>
                <w:rFonts w:ascii="Calibri" w:hAnsi="Calibri"/>
                <w:b w:val="0"/>
                <w:color w:val="42566C"/>
                <w:sz w:val="19"/>
              </w:rPr>
              <w:t>6.5</w:t>
            </w:r>
          </w:p>
        </w:tc>
        <w:tc>
          <w:tcPr>
            <w:tcW w:type="dxa" w:w="1368"/>
            <w:shd w:val="clear" w:fill="f2f5f9"/>
          </w:tcPr>
          <w:p>
            <w:pPr>
              <w:jc w:val="center"/>
            </w:pPr>
            <w:r/>
            <w:r>
              <w:rPr>
                <w:rFonts w:ascii="Calibri" w:hAnsi="Calibri"/>
                <w:b w:val="0"/>
                <w:color w:val="42566C"/>
                <w:sz w:val="19"/>
              </w:rPr>
              <w:t>400</w:t>
            </w:r>
          </w:p>
        </w:tc>
        <w:tc>
          <w:tcPr>
            <w:tcW w:type="dxa" w:w="1512"/>
            <w:shd w:val="clear" w:fill="f2f5f9"/>
          </w:tcPr>
          <w:p>
            <w:pPr>
              <w:jc w:val="center"/>
            </w:pPr>
            <w:r/>
            <w:r>
              <w:rPr>
                <w:rFonts w:ascii="Calibri" w:hAnsi="Calibri"/>
                <w:b w:val="0"/>
                <w:color w:val="42566C"/>
                <w:sz w:val="19"/>
              </w:rPr>
              <w:t>0.0%</w:t>
            </w:r>
          </w:p>
        </w:tc>
        <w:tc>
          <w:tcPr>
            <w:tcW w:type="dxa" w:w="1440"/>
            <w:shd w:val="clear" w:fill="f2f5f9"/>
          </w:tcPr>
          <w:p>
            <w:pPr>
              <w:jc w:val="center"/>
            </w:pPr>
            <w:r/>
            <w:r>
              <w:rPr>
                <w:rFonts w:ascii="Calibri" w:hAnsi="Calibri"/>
                <w:b w:val="0"/>
                <w:color w:val="42566C"/>
                <w:sz w:val="19"/>
              </w:rPr>
              <w:t>400</w:t>
            </w:r>
          </w:p>
        </w:tc>
        <w:tc>
          <w:tcPr>
            <w:tcW w:type="dxa" w:w="1584"/>
            <w:shd w:val="clear" w:fill="f2f5f9"/>
          </w:tcPr>
          <w:p>
            <w:pPr>
              <w:jc w:val="center"/>
            </w:pPr>
            <w:r/>
            <w:r>
              <w:rPr>
                <w:rFonts w:ascii="Calibri" w:hAnsi="Calibri"/>
                <w:b w:val="0"/>
                <w:color w:val="42566C"/>
                <w:sz w:val="19"/>
              </w:rPr>
              <w:t>3%</w:t>
            </w:r>
          </w:p>
        </w:tc>
      </w:tr>
    </w:tbl>
    <w:p/>
    <w:p>
      <w:pPr>
        <w:jc w:val="center"/>
      </w:pPr>
      <w:r>
        <w:drawing>
          <wp:inline xmlns:a="http://schemas.openxmlformats.org/drawingml/2006/main" xmlns:pic="http://schemas.openxmlformats.org/drawingml/2006/picture">
            <wp:extent cx="6309360" cy="3120590"/>
            <wp:docPr id="3" name="Picture 3"/>
            <wp:cNvGraphicFramePr>
              <a:graphicFrameLocks noChangeAspect="1"/>
            </wp:cNvGraphicFramePr>
            <a:graphic>
              <a:graphicData uri="http://schemas.openxmlformats.org/drawingml/2006/picture">
                <pic:pic>
                  <pic:nvPicPr>
                    <pic:cNvPr id="0" name="exceedance.png"/>
                    <pic:cNvPicPr/>
                  </pic:nvPicPr>
                  <pic:blipFill>
                    <a:blip r:embed="rId11"/>
                    <a:stretch>
                      <a:fillRect/>
                    </a:stretch>
                  </pic:blipFill>
                  <pic:spPr>
                    <a:xfrm>
                      <a:off x="0" y="0"/>
                      <a:ext cx="6309360" cy="3120590"/>
                    </a:xfrm>
                    <a:prstGeom prst="rect"/>
                  </pic:spPr>
                </pic:pic>
              </a:graphicData>
            </a:graphic>
          </wp:inline>
        </w:drawing>
      </w:r>
    </w:p>
    <w:p>
      <w:pPr>
        <w:spacing w:after="200"/>
        <w:jc w:val="center"/>
      </w:pPr>
      <w:r>
        <w:rPr>
          <w:rFonts w:ascii="Calibri" w:hAnsi="Calibri"/>
          <w:b w:val="0"/>
          <w:i/>
          <w:color w:val="75879D"/>
          <w:sz w:val="17"/>
        </w:rPr>
        <w:t>Figure 3 · Share of days above the NAAQS 24-hour limit by pollutant, full period. Bars use each pollutant’s fixed palette colour.</w:t>
      </w:r>
    </w:p>
    <w:p>
      <w:pPr>
        <w:spacing w:after="0"/>
      </w:pPr>
      <w:r>
        <w:rPr>
          <w:rFonts w:ascii="Calibri" w:hAnsi="Calibri"/>
          <w:b w:val="0"/>
          <w:i w:val="0"/>
          <w:color w:val="42566C"/>
          <w:sz w:val="21"/>
        </w:rPr>
        <w:t>Average concentrations rank CO (1,113), PM10 (122) and PM2.5 (99) highest — the same top five the Nationwide Overview’s “Top 5 Pollutants” card shows. Medians sit well below means for every pollutant: the distributions are right-skewed, driven by episodic winter spikes rather than a uniformly high baseline.</w:t>
      </w:r>
    </w:p>
    <w:p>
      <w:r>
        <w:br w:type="page"/>
      </w:r>
    </w:p>
    <w:p>
      <w:pPr>
        <w:pStyle w:val="Heading1"/>
      </w:pPr>
      <w:r>
        <w:rPr>
          <w:rFonts w:ascii="Calibri" w:hAnsi="Calibri"/>
          <w:color w:val="16283C"/>
        </w:rPr>
        <w:t>5.  Seasonality &amp; year-over-year trend</w:t>
      </w:r>
    </w:p>
    <w:p>
      <w:pPr>
        <w:spacing w:after="120"/>
      </w:pPr>
      <w:r>
        <w:rPr>
          <w:rFonts w:ascii="Calibri" w:hAnsi="Calibri"/>
          <w:b w:val="0"/>
          <w:i w:val="0"/>
          <w:color w:val="42566C"/>
          <w:sz w:val="21"/>
        </w:rPr>
        <w:t>Pollution in India is a winter problem. The national average AQI bottoms out during the monsoon (Winter 4.69 (93% unhealthy) · Pre-monsoon 3.85 (67% unhealthy) · Monsoon 2.96 (46% unhealthy) · Post-monsoon 4.31 (82% unhealthy)) and peaks between November and February. 26 of 26 cities record their worst month inside the November–March window; none peaks between April and October.</w:t>
      </w:r>
    </w:p>
    <w:p>
      <w:pPr>
        <w:jc w:val="center"/>
      </w:pPr>
      <w:r>
        <w:drawing>
          <wp:inline xmlns:a="http://schemas.openxmlformats.org/drawingml/2006/main" xmlns:pic="http://schemas.openxmlformats.org/drawingml/2006/picture">
            <wp:extent cx="6309360" cy="2936039"/>
            <wp:docPr id="4" name="Picture 4"/>
            <wp:cNvGraphicFramePr>
              <a:graphicFrameLocks noChangeAspect="1"/>
            </wp:cNvGraphicFramePr>
            <a:graphic>
              <a:graphicData uri="http://schemas.openxmlformats.org/drawingml/2006/picture">
                <pic:pic>
                  <pic:nvPicPr>
                    <pic:cNvPr id="0" name="monthly_trend.png"/>
                    <pic:cNvPicPr/>
                  </pic:nvPicPr>
                  <pic:blipFill>
                    <a:blip r:embed="rId12"/>
                    <a:stretch>
                      <a:fillRect/>
                    </a:stretch>
                  </pic:blipFill>
                  <pic:spPr>
                    <a:xfrm>
                      <a:off x="0" y="0"/>
                      <a:ext cx="6309360" cy="2936039"/>
                    </a:xfrm>
                    <a:prstGeom prst="rect"/>
                  </pic:spPr>
                </pic:pic>
              </a:graphicData>
            </a:graphic>
          </wp:inline>
        </w:drawing>
      </w:r>
    </w:p>
    <w:p>
      <w:pPr>
        <w:spacing w:after="200"/>
        <w:jc w:val="center"/>
      </w:pPr>
      <w:r>
        <w:rPr>
          <w:rFonts w:ascii="Calibri" w:hAnsi="Calibri"/>
          <w:b w:val="0"/>
          <w:i/>
          <w:color w:val="75879D"/>
          <w:sz w:val="17"/>
        </w:rPr>
        <w:t>Figure 4 · National monthly average AQI, 2021 vs 2022. The two years trace an almost identical seasonal curve.</w:t>
      </w:r>
    </w:p>
    <w:p>
      <w:pPr>
        <w:jc w:val="center"/>
      </w:pPr>
      <w:r>
        <w:drawing>
          <wp:inline xmlns:a="http://schemas.openxmlformats.org/drawingml/2006/main" xmlns:pic="http://schemas.openxmlformats.org/drawingml/2006/picture">
            <wp:extent cx="6309360" cy="3596383"/>
            <wp:docPr id="5" name="Picture 5"/>
            <wp:cNvGraphicFramePr>
              <a:graphicFrameLocks noChangeAspect="1"/>
            </wp:cNvGraphicFramePr>
            <a:graphic>
              <a:graphicData uri="http://schemas.openxmlformats.org/drawingml/2006/picture">
                <pic:pic>
                  <pic:nvPicPr>
                    <pic:cNvPr id="0" name="heatmap.png"/>
                    <pic:cNvPicPr/>
                  </pic:nvPicPr>
                  <pic:blipFill>
                    <a:blip r:embed="rId13"/>
                    <a:stretch>
                      <a:fillRect/>
                    </a:stretch>
                  </pic:blipFill>
                  <pic:spPr>
                    <a:xfrm>
                      <a:off x="0" y="0"/>
                      <a:ext cx="6309360" cy="3596383"/>
                    </a:xfrm>
                    <a:prstGeom prst="rect"/>
                  </pic:spPr>
                </pic:pic>
              </a:graphicData>
            </a:graphic>
          </wp:inline>
        </w:drawing>
      </w:r>
    </w:p>
    <w:p>
      <w:pPr>
        <w:spacing w:after="200"/>
        <w:jc w:val="center"/>
      </w:pPr>
      <w:r>
        <w:rPr>
          <w:rFonts w:ascii="Calibri" w:hAnsi="Calibri"/>
          <w:b w:val="0"/>
          <w:i/>
          <w:color w:val="75879D"/>
          <w:sz w:val="17"/>
        </w:rPr>
        <w:t>Figure 5 · Average AQI by city and month, 2021–2022. Cities are ordered worst to cleanest; darker red = higher AQI.</w:t>
      </w:r>
    </w:p>
    <w:p>
      <w:r>
        <w:br w:type="page"/>
      </w:r>
    </w:p>
    <w:p>
      <w:pPr>
        <w:pStyle w:val="Heading1"/>
      </w:pPr>
      <w:r>
        <w:rPr>
          <w:rFonts w:ascii="Calibri" w:hAnsi="Calibri"/>
          <w:color w:val="16283C"/>
        </w:rPr>
        <w:t>6.  Key findings &amp; how they reach the dashboard</w:t>
      </w:r>
    </w:p>
    <w:p>
      <w:pPr>
        <w:pStyle w:val="ListBullet"/>
      </w:pPr>
      <w:r>
        <w:rPr>
          <w:rFonts w:ascii="Calibri" w:hAnsi="Calibri"/>
          <w:b/>
          <w:color w:val="16283C"/>
          <w:sz w:val="21"/>
        </w:rPr>
        <w:t xml:space="preserve">1.  Unhealthy air is the norm. </w:t>
      </w:r>
      <w:r>
        <w:rPr>
          <w:rFonts w:ascii="Calibri" w:hAnsi="Calibri"/>
          <w:color w:val="42566C"/>
          <w:sz w:val="21"/>
        </w:rPr>
        <w:t>71% of city-days are at AQI ≥ 4 and 53% in the worst category — the headline KPI band on the Nationwide Overview.</w:t>
      </w:r>
    </w:p>
    <w:p>
      <w:pPr>
        <w:pStyle w:val="ListBullet"/>
      </w:pPr>
      <w:r>
        <w:rPr>
          <w:rFonts w:ascii="Calibri" w:hAnsi="Calibri"/>
          <w:b/>
          <w:color w:val="16283C"/>
          <w:sz w:val="21"/>
        </w:rPr>
        <w:t xml:space="preserve">2.  Geography is destiny. </w:t>
      </w:r>
      <w:r>
        <w:rPr>
          <w:rFonts w:ascii="Calibri" w:hAnsi="Calibri"/>
          <w:color w:val="42566C"/>
          <w:sz w:val="21"/>
        </w:rPr>
        <w:t>Avg AQI spans 4.81 (Delhi) to 2.78 (Aizawl); the north-Indian belt vs south/northeast split is the dataset’s strongest pattern.</w:t>
      </w:r>
    </w:p>
    <w:p>
      <w:pPr>
        <w:pStyle w:val="ListBullet"/>
      </w:pPr>
      <w:r>
        <w:rPr>
          <w:rFonts w:ascii="Calibri" w:hAnsi="Calibri"/>
          <w:b/>
          <w:color w:val="16283C"/>
          <w:sz w:val="21"/>
        </w:rPr>
        <w:t xml:space="preserve">3.  PM2.5 is the pollutant to manage. </w:t>
      </w:r>
      <w:r>
        <w:rPr>
          <w:rFonts w:ascii="Calibri" w:hAnsi="Calibri"/>
          <w:color w:val="42566C"/>
          <w:sz w:val="21"/>
        </w:rPr>
        <w:t>It breaches the 24-h limit on ~49% of days and averages ~2.3× the annual limit; PM10 follows. Gaseous pollutants are largely compliant.</w:t>
      </w:r>
    </w:p>
    <w:p>
      <w:pPr>
        <w:pStyle w:val="ListBullet"/>
      </w:pPr>
      <w:r>
        <w:rPr>
          <w:rFonts w:ascii="Calibri" w:hAnsi="Calibri"/>
          <w:b/>
          <w:color w:val="16283C"/>
          <w:sz w:val="21"/>
        </w:rPr>
        <w:t xml:space="preserve">4.  Winter is the danger window. </w:t>
      </w:r>
      <w:r>
        <w:rPr>
          <w:rFonts w:ascii="Calibri" w:hAnsi="Calibri"/>
          <w:color w:val="42566C"/>
          <w:sz w:val="21"/>
        </w:rPr>
        <w:t>Every city peaks Nov–Mar, with ~95% unhealthy days in winter vs ~46% in the monsoon — the timing story told by the monthly trend and the peak-month KPIs.</w:t>
      </w:r>
    </w:p>
    <w:p>
      <w:pPr>
        <w:pStyle w:val="ListBullet"/>
      </w:pPr>
      <w:r>
        <w:rPr>
          <w:rFonts w:ascii="Calibri" w:hAnsi="Calibri"/>
          <w:b/>
          <w:color w:val="16283C"/>
          <w:sz w:val="21"/>
        </w:rPr>
        <w:t xml:space="preserve">5.  2022 looked like 2021. </w:t>
      </w:r>
      <w:r>
        <w:rPr>
          <w:rFonts w:ascii="Calibri" w:hAnsi="Calibri"/>
          <w:color w:val="42566C"/>
          <w:sz w:val="21"/>
        </w:rPr>
        <w:t>National average AQI 3.89 → 3.86 (-0.9%), so year filters change the picture far less than city or season.</w:t>
      </w:r>
    </w:p>
    <w:p>
      <w:pPr>
        <w:pStyle w:val="ListBullet"/>
      </w:pPr>
      <w:r>
        <w:rPr>
          <w:rFonts w:ascii="Calibri" w:hAnsi="Calibri"/>
          <w:b/>
          <w:color w:val="16283C"/>
          <w:sz w:val="21"/>
        </w:rPr>
        <w:t xml:space="preserve">6.  The data can be trusted. </w:t>
      </w:r>
      <w:r>
        <w:rPr>
          <w:rFonts w:ascii="Calibri" w:hAnsi="Calibri"/>
          <w:color w:val="42566C"/>
          <w:sz w:val="21"/>
        </w:rPr>
        <w:t>Zero nulls, zero duplicates, 99.7% calendar coverage — no cleaning layer between the extract and the dashboards.</w:t>
      </w:r>
    </w:p>
    <w:p/>
    <w:tbl>
      <w:tblPr>
        <w:tblStyle w:val="TableGrid"/>
        <w:tblW w:type="auto" w:w="0"/>
        <w:jc w:val="center"/>
        <w:tblLook w:firstColumn="1" w:firstRow="1" w:lastColumn="0" w:lastRow="0" w:noHBand="0" w:noVBand="1" w:val="04A0"/>
      </w:tblPr>
      <w:tblGrid>
        <w:gridCol w:w="4968"/>
        <w:gridCol w:w="4968"/>
      </w:tblGrid>
      <w:tr>
        <w:tc>
          <w:tcPr>
            <w:tcW w:type="dxa" w:w="4464"/>
            <w:shd w:val="clear" w:fill="16283c"/>
          </w:tcPr>
          <w:p>
            <w:r/>
            <w:r>
              <w:rPr>
                <w:rFonts w:ascii="Calibri" w:hAnsi="Calibri"/>
                <w:b/>
                <w:color w:val="FFFFFF"/>
                <w:sz w:val="19"/>
              </w:rPr>
              <w:t>Analysis in this report</w:t>
            </w:r>
          </w:p>
        </w:tc>
        <w:tc>
          <w:tcPr>
            <w:tcW w:type="dxa" w:w="5472"/>
            <w:shd w:val="clear" w:fill="16283c"/>
          </w:tcPr>
          <w:p>
            <w:r/>
            <w:r>
              <w:rPr>
                <w:rFonts w:ascii="Calibri" w:hAnsi="Calibri"/>
                <w:b/>
                <w:color w:val="FFFFFF"/>
                <w:sz w:val="19"/>
              </w:rPr>
              <w:t>Where it appears in the dashboard</w:t>
            </w:r>
          </w:p>
        </w:tc>
      </w:tr>
      <w:tr>
        <w:tc>
          <w:tcPr>
            <w:tcW w:type="dxa" w:w="4464"/>
            <w:shd w:val="clear" w:fill="ffffff"/>
          </w:tcPr>
          <w:p>
            <w:r/>
            <w:r>
              <w:rPr>
                <w:rFonts w:ascii="Calibri" w:hAnsi="Calibri"/>
                <w:b w:val="0"/>
                <w:color w:val="42566C"/>
                <w:sz w:val="19"/>
              </w:rPr>
              <w:t>City ranking &amp; unhealthy-day share (Fig. 2)</w:t>
            </w:r>
          </w:p>
        </w:tc>
        <w:tc>
          <w:tcPr>
            <w:tcW w:type="dxa" w:w="5472"/>
            <w:shd w:val="clear" w:fill="ffffff"/>
          </w:tcPr>
          <w:p>
            <w:r/>
            <w:r>
              <w:rPr>
                <w:rFonts w:ascii="Calibri" w:hAnsi="Calibri"/>
                <w:b w:val="0"/>
                <w:color w:val="42566C"/>
                <w:sz w:val="19"/>
              </w:rPr>
              <w:t>Average AQI by City — bubble map, Nationwide Overview</w:t>
            </w:r>
          </w:p>
        </w:tc>
      </w:tr>
      <w:tr>
        <w:tc>
          <w:tcPr>
            <w:tcW w:type="dxa" w:w="4464"/>
            <w:shd w:val="clear" w:fill="f2f5f9"/>
          </w:tcPr>
          <w:p>
            <w:r/>
            <w:r>
              <w:rPr>
                <w:rFonts w:ascii="Calibri" w:hAnsi="Calibri"/>
                <w:b w:val="0"/>
                <w:color w:val="42566C"/>
                <w:sz w:val="19"/>
              </w:rPr>
              <w:t>Monthly 2021 vs 2022 profile (Fig. 4)</w:t>
            </w:r>
          </w:p>
        </w:tc>
        <w:tc>
          <w:tcPr>
            <w:tcW w:type="dxa" w:w="5472"/>
            <w:shd w:val="clear" w:fill="f2f5f9"/>
          </w:tcPr>
          <w:p>
            <w:r/>
            <w:r>
              <w:rPr>
                <w:rFonts w:ascii="Calibri" w:hAnsi="Calibri"/>
                <w:b w:val="0"/>
                <w:color w:val="42566C"/>
                <w:sz w:val="19"/>
              </w:rPr>
              <w:t>Monthly AQI Trend by Year — matrix, Nationwide Overview</w:t>
            </w:r>
          </w:p>
        </w:tc>
      </w:tr>
      <w:tr>
        <w:tc>
          <w:tcPr>
            <w:tcW w:type="dxa" w:w="4464"/>
            <w:shd w:val="clear" w:fill="ffffff"/>
          </w:tcPr>
          <w:p>
            <w:r/>
            <w:r>
              <w:rPr>
                <w:rFonts w:ascii="Calibri" w:hAnsi="Calibri"/>
                <w:b w:val="0"/>
                <w:color w:val="42566C"/>
                <w:sz w:val="19"/>
              </w:rPr>
              <w:t>Pollutant concentration ranking (§4)</w:t>
            </w:r>
          </w:p>
        </w:tc>
        <w:tc>
          <w:tcPr>
            <w:tcW w:type="dxa" w:w="5472"/>
            <w:shd w:val="clear" w:fill="ffffff"/>
          </w:tcPr>
          <w:p>
            <w:r/>
            <w:r>
              <w:rPr>
                <w:rFonts w:ascii="Calibri" w:hAnsi="Calibri"/>
                <w:b w:val="0"/>
                <w:color w:val="42566C"/>
                <w:sz w:val="19"/>
              </w:rPr>
              <w:t>Top 5 Air Pollutants by Avg Concentration — bars, Nationwide Overview</w:t>
            </w:r>
          </w:p>
        </w:tc>
      </w:tr>
      <w:tr>
        <w:tc>
          <w:tcPr>
            <w:tcW w:type="dxa" w:w="4464"/>
            <w:shd w:val="clear" w:fill="f2f5f9"/>
          </w:tcPr>
          <w:p>
            <w:r/>
            <w:r>
              <w:rPr>
                <w:rFonts w:ascii="Calibri" w:hAnsi="Calibri"/>
                <w:b w:val="0"/>
                <w:color w:val="42566C"/>
                <w:sz w:val="19"/>
              </w:rPr>
              <w:t>Annual NAAQS compliance (§4)</w:t>
            </w:r>
          </w:p>
        </w:tc>
        <w:tc>
          <w:tcPr>
            <w:tcW w:type="dxa" w:w="5472"/>
            <w:shd w:val="clear" w:fill="f2f5f9"/>
          </w:tcPr>
          <w:p>
            <w:r/>
            <w:r>
              <w:rPr>
                <w:rFonts w:ascii="Calibri" w:hAnsi="Calibri"/>
                <w:b w:val="0"/>
                <w:color w:val="42566C"/>
                <w:sz w:val="19"/>
              </w:rPr>
              <w:t>Avg Concentration vs annual-limit reference — bars, City Drilldown</w:t>
            </w:r>
          </w:p>
        </w:tc>
      </w:tr>
      <w:tr>
        <w:tc>
          <w:tcPr>
            <w:tcW w:type="dxa" w:w="4464"/>
            <w:shd w:val="clear" w:fill="ffffff"/>
          </w:tcPr>
          <w:p>
            <w:r/>
            <w:r>
              <w:rPr>
                <w:rFonts w:ascii="Calibri" w:hAnsi="Calibri"/>
                <w:b w:val="0"/>
                <w:color w:val="42566C"/>
                <w:sz w:val="19"/>
              </w:rPr>
              <w:t>24-hour exceedance rate (Fig. 3)</w:t>
            </w:r>
          </w:p>
        </w:tc>
        <w:tc>
          <w:tcPr>
            <w:tcW w:type="dxa" w:w="5472"/>
            <w:shd w:val="clear" w:fill="ffffff"/>
          </w:tcPr>
          <w:p>
            <w:r/>
            <w:r>
              <w:rPr>
                <w:rFonts w:ascii="Calibri" w:hAnsi="Calibri"/>
                <w:b w:val="0"/>
                <w:color w:val="42566C"/>
                <w:sz w:val="19"/>
              </w:rPr>
              <w:t>Percentage of Days above the limit — bars, City Drilldown</w:t>
            </w:r>
          </w:p>
        </w:tc>
      </w:tr>
      <w:tr>
        <w:tc>
          <w:tcPr>
            <w:tcW w:type="dxa" w:w="4464"/>
            <w:shd w:val="clear" w:fill="f2f5f9"/>
          </w:tcPr>
          <w:p>
            <w:r/>
            <w:r>
              <w:rPr>
                <w:rFonts w:ascii="Calibri" w:hAnsi="Calibri"/>
                <w:b w:val="0"/>
                <w:color w:val="42566C"/>
                <w:sz w:val="19"/>
              </w:rPr>
              <w:t>Peak-month &amp; seasonality (Fig. 5)</w:t>
            </w:r>
          </w:p>
        </w:tc>
        <w:tc>
          <w:tcPr>
            <w:tcW w:type="dxa" w:w="5472"/>
            <w:shd w:val="clear" w:fill="f2f5f9"/>
          </w:tcPr>
          <w:p>
            <w:r/>
            <w:r>
              <w:rPr>
                <w:rFonts w:ascii="Calibri" w:hAnsi="Calibri"/>
                <w:b w:val="0"/>
                <w:color w:val="42566C"/>
                <w:sz w:val="19"/>
              </w:rPr>
              <w:t>Peak Pollution Month — KPI cards on both dashboards</w:t>
            </w:r>
          </w:p>
        </w:tc>
      </w:tr>
    </w:tbl>
    <w:p/>
    <w:p>
      <w:pPr>
        <w:spacing w:after="120"/>
      </w:pPr>
      <w:r>
        <w:rPr>
          <w:rFonts w:ascii="Calibri" w:hAnsi="Calibri"/>
          <w:b/>
          <w:i w:val="0"/>
          <w:color w:val="42566C"/>
          <w:sz w:val="20"/>
        </w:rPr>
        <w:t>Method &amp; reproducibility — every statistic and figure in this document is computed live from the packaged extract inside Air_Pollution_Dashboard.twbx, and every colour resolves to the Atmos tokens in theme/palette.json. Re-run after any data or palette change:</w:t>
      </w:r>
    </w:p>
    <w:p>
      <w:r>
        <w:rPr>
          <w:rFonts w:ascii="Consolas" w:hAnsi="Consolas"/>
          <w:color w:val="16283C"/>
          <w:sz w:val="19"/>
        </w:rPr>
        <w:t>python3 theme/make_eda_doc.py</w:t>
      </w:r>
    </w:p>
    <w:p>
      <w:pPr>
        <w:spacing w:after="120"/>
      </w:pPr>
      <w:r>
        <w:rPr>
          <w:rFonts w:ascii="Calibri" w:hAnsi="Calibri"/>
          <w:b w:val="0"/>
          <w:i w:val="0"/>
          <w:color w:val="42566C"/>
          <w:sz w:val="21"/>
        </w:rPr>
      </w:r>
    </w:p>
    <w:p>
      <w:pPr>
        <w:jc w:val="center"/>
      </w:pPr>
      <w:r>
        <w:rPr>
          <w:i/>
          <w:color w:val="75879D"/>
          <w:sz w:val="17"/>
        </w:rPr>
        <w:t>AirIQ EDA · generated from the workbook extract · Atmos Design System v1.1.0 · 02 Oct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2566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