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6283C"/>
          <w:sz w:val="52"/>
        </w:rPr>
        <w:t>INDIA AIR QUALITY INTELLIGENCE</w:t>
      </w:r>
    </w:p>
    <w:p>
      <w:r>
        <w:rPr>
          <w:rFonts w:ascii="Calibri" w:hAnsi="Calibri"/>
          <w:color w:val="2C7DA0"/>
          <w:sz w:val="28"/>
        </w:rPr>
        <w:t>Tableau Dashboard Suite  ·  Design &amp; Documentation</w:t>
      </w:r>
    </w:p>
    <w:p>
      <w:r>
        <w:rPr>
          <w:rFonts w:ascii="Calibri" w:hAnsi="Calibri"/>
          <w:color w:val="75879D"/>
          <w:sz w:val="19"/>
        </w:rPr>
        <w:t>Atmos Design System v1.1.0  ·  02 October 2026  ·  Workbook: Air_Pollution_Dashboard.twbx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trHeight w:val="80"/>
        </w:trPr>
        <w:tc>
          <w:tcPr>
            <w:tcW w:type="dxa" w:w="9936"/>
            <w:shd w:val="clear" w:fill="2c7da0"/>
          </w:tcPr>
          <w:p>
            <w:r/>
          </w:p>
        </w:tc>
      </w:tr>
    </w:tbl>
    <w:p/>
    <w:p>
      <w:pPr>
        <w:pStyle w:val="Heading1"/>
      </w:pPr>
      <w:r>
        <w:rPr>
          <w:rFonts w:ascii="Calibri" w:hAnsi="Calibri"/>
          <w:color w:val="16283C"/>
        </w:rPr>
        <w:t>1.  What was delivered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The original workbook contained 16 worksheets and two dashboards styled with ad-hoc colors (yellow panels, black title bars, a dark basemap, mixed fonts). This delivery rebuilds both dashboards on a professional card-based layout, introduces the Atmos modular color system, adds a city locator map, and ships a theme builder that can re-skin the entire workbook from a single token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Air_Pollution_Dashboard.twbx</w:t>
            </w:r>
          </w:p>
        </w:tc>
        <w:tc>
          <w:tcPr>
            <w:tcW w:type="dxa" w:w="66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The themed Tableau workbook — fully editable in Tableau Desktop. Two dashboards, 17 worksheets, all filters and parameters preserved.</w:t>
            </w:r>
          </w:p>
        </w:tc>
      </w:tr>
      <w:tr>
        <w:tc>
          <w:tcPr>
            <w:tcW w:type="dxa" w:w="30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theme/palette.json</w:t>
            </w:r>
          </w:p>
        </w:tc>
        <w:tc>
          <w:tcPr>
            <w:tcW w:type="dxa" w:w="66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Design tokens — the single source of truth for every color and font size in the workbook and this document.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theme/apply_theme.py</w:t>
            </w:r>
          </w:p>
        </w:tc>
        <w:tc>
          <w:tcPr>
            <w:tcW w:type="dxa" w:w="66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Theme builder: restyles worksheets, pins mark colors, rebuilds dashboards, generates button assets and design previews. Idempotent.</w:t>
            </w:r>
          </w:p>
        </w:tc>
      </w:tr>
      <w:tr>
        <w:tc>
          <w:tcPr>
            <w:tcW w:type="dxa" w:w="30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preview/*.png</w:t>
            </w:r>
          </w:p>
        </w:tc>
        <w:tc>
          <w:tcPr>
            <w:tcW w:type="dxa" w:w="66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Design previews of both dashboards, rendered from the same layout spec and tokens.</w:t>
            </w:r>
          </w:p>
        </w:tc>
      </w:tr>
      <w:tr>
        <w:tc>
          <w:tcPr>
            <w:tcW w:type="dxa" w:w="30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DESIGN_SYSTEM.md</w:t>
            </w:r>
          </w:p>
        </w:tc>
        <w:tc>
          <w:tcPr>
            <w:tcW w:type="dxa" w:w="66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Developer-facing reference version of this document.</w:t>
            </w:r>
          </w:p>
        </w:tc>
      </w:tr>
      <w:tr>
        <w:tc>
          <w:tcPr>
            <w:tcW w:type="dxa" w:w="30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This document</w:t>
            </w:r>
          </w:p>
        </w:tc>
        <w:tc>
          <w:tcPr>
            <w:tcW w:type="dxa" w:w="66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Editable stakeholder documentation — regenerate any time with theme/make_doc.py.</w:t>
            </w:r>
          </w:p>
        </w:tc>
      </w:tr>
    </w:tbl>
    <w:p>
      <w:pPr>
        <w:pStyle w:val="Heading1"/>
      </w:pPr>
      <w:r>
        <w:rPr>
          <w:rFonts w:ascii="Calibri" w:hAnsi="Calibri"/>
          <w:color w:val="16283C"/>
        </w:rPr>
        <w:t>2.  The data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Daily ambient air-quality readings published by the CPCB continuous monitoring network: 26 Indian cities, January 2021 – December 2022 (18,928 daily records). Each record carries an AQI index (1–5 scale; unhealthy ≥ 4) plus concentrations of eight pollutants — CO, NO, NO₂, O₃, SO₂, PM2.5, PM10 and NH₃ — benchmarked against Indian NAAQS annual and 24-hour limits.</w:t>
      </w:r>
    </w:p>
    <w:p>
      <w:pPr>
        <w:pStyle w:val="Heading1"/>
      </w:pPr>
      <w:r>
        <w:rPr>
          <w:rFonts w:ascii="Calibri" w:hAnsi="Calibri"/>
          <w:color w:val="16283C"/>
        </w:rPr>
        <w:t>3.  Dashboard guide</w:t>
      </w:r>
    </w:p>
    <w:p>
      <w:pPr>
        <w:pStyle w:val="Heading2"/>
      </w:pPr>
      <w:r>
        <w:rPr>
          <w:rFonts w:ascii="Calibri" w:hAnsi="Calibri"/>
          <w:color w:val="16283C"/>
        </w:rPr>
        <w:t>3.1  Nationwide Overview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The executive landing view: national KPIs, a city-level AQI map, and the two signature analytical charts. A Year filter in the header compares 2021 vs 2022 across every chart; the header button drills into city-level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wid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Band</w:t>
            </w:r>
          </w:p>
        </w:tc>
        <w:tc>
          <w:tcPr>
            <w:tcW w:type="dxa" w:w="777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Header</w:t>
            </w:r>
          </w:p>
        </w:tc>
        <w:tc>
          <w:tcPr>
            <w:tcW w:type="dxa" w:w="77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Title + subtitle, Year filter (dropdown), City Drilldown navigation button, brand accent rule</w:t>
            </w:r>
          </w:p>
        </w:tc>
      </w:tr>
      <w:tr>
        <w:tc>
          <w:tcPr>
            <w:tcW w:type="dxa" w:w="187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 band</w:t>
            </w:r>
          </w:p>
        </w:tc>
        <w:tc>
          <w:tcPr>
            <w:tcW w:type="dxa" w:w="77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National Average AQI · YoY Change in AQI · Most Polluted City · Cleanest City · Peak Pollution Month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Chart grid</w:t>
            </w:r>
          </w:p>
        </w:tc>
        <w:tc>
          <w:tcPr>
            <w:tcW w:type="dxa" w:w="77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Average AQI by City (bubble map, color = category, size = avg AQI) · Monthly AQI Trend by Year (matrix) · Top 5 Air Pollutants by Avg Concentration (bars)</w:t>
            </w:r>
          </w:p>
        </w:tc>
      </w:tr>
      <w:tr>
        <w:tc>
          <w:tcPr>
            <w:tcW w:type="dxa" w:w="187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Footnote band</w:t>
            </w:r>
          </w:p>
        </w:tc>
        <w:tc>
          <w:tcPr>
            <w:tcW w:type="dxa" w:w="77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Records Monitored stat card + “How to read” guidance</w:t>
            </w:r>
          </w:p>
        </w:tc>
      </w:tr>
    </w:tbl>
    <w:p>
      <w:pPr>
        <w:pStyle w:val="Heading2"/>
      </w:pPr>
      <w:r>
        <w:rPr>
          <w:rFonts w:ascii="Calibri" w:hAnsi="Calibri"/>
          <w:color w:val="16283C"/>
        </w:rPr>
        <w:t>3.2  City Drilldown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The analytical deep-dive. A control strip drives every chart: pick a city and a pollutant and the whole page updates — including a locator map that zooms to the selected city. A header button returns to the national overview.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Drill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Band</w:t>
            </w:r>
          </w:p>
        </w:tc>
        <w:tc>
          <w:tcPr>
            <w:tcW w:type="dxa" w:w="777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Header</w:t>
            </w:r>
          </w:p>
        </w:tc>
        <w:tc>
          <w:tcPr>
            <w:tcW w:type="dxa" w:w="77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Title + subtitle, Nationwide View navigation button, brand accent rule</w:t>
            </w:r>
          </w:p>
        </w:tc>
      </w:tr>
      <w:tr>
        <w:tc>
          <w:tcPr>
            <w:tcW w:type="dxa" w:w="187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Control strip</w:t>
            </w:r>
          </w:p>
        </w:tc>
        <w:tc>
          <w:tcPr>
            <w:tcW w:type="dxa" w:w="77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City filter (dropdown) · Pollutant parameter · Year color legend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 band</w:t>
            </w:r>
          </w:p>
        </w:tc>
        <w:tc>
          <w:tcPr>
            <w:tcW w:type="dxa" w:w="77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Selected City · Avg AQI · Peak Pollution Month · % Unhealthy AQI Days</w:t>
            </w:r>
          </w:p>
        </w:tc>
      </w:tr>
      <w:tr>
        <w:tc>
          <w:tcPr>
            <w:tcW w:type="dxa" w:w="187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Chart grid</w:t>
            </w:r>
          </w:p>
        </w:tc>
        <w:tc>
          <w:tcPr>
            <w:tcW w:type="dxa" w:w="77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Average concentration of the selected pollutant, 2021 vs 2022, against the NAAQS annual limit · Selected City Location (locator map) · Monthly concentration trend by year · % of days above the NAAQS 24-hour limit</w:t>
            </w:r>
          </w:p>
        </w:tc>
      </w:tr>
      <w:tr>
        <w:tc>
          <w:tcPr>
            <w:tcW w:type="dxa" w:w="187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Footnote band</w:t>
            </w:r>
          </w:p>
        </w:tc>
        <w:tc>
          <w:tcPr>
            <w:tcW w:type="dxa" w:w="77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“How to read” guidance + source note</w:t>
            </w:r>
          </w:p>
        </w:tc>
      </w:tr>
    </w:tbl>
    <w:p>
      <w:pPr>
        <w:pStyle w:val="Heading1"/>
      </w:pPr>
      <w:r>
        <w:rPr>
          <w:rFonts w:ascii="Calibri" w:hAnsi="Calibri"/>
          <w:color w:val="16283C"/>
        </w:rPr>
        <w:t>4.  The Atmos design system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Every color used anywhere — dashboard chrome, worksheet surfaces, mark colors, fonts, buttons, and this document — resolves to a token in theme/palette.json. Discrete mark colors are additionally pinned in the workbook XML as value → color maps, so the same value always renders the same color on every sheet.</w:t>
      </w:r>
    </w:p>
    <w:p>
      <w:pPr>
        <w:pStyle w:val="Heading2"/>
      </w:pPr>
      <w:r>
        <w:rPr>
          <w:rFonts w:ascii="Calibri" w:hAnsi="Calibri"/>
          <w:color w:val="16283C"/>
        </w:rPr>
        <w:t>4.1  Surfaces, ink and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800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368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7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43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Applied to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Surface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canvas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#F2F5F9</w:t>
            </w:r>
          </w:p>
        </w:tc>
        <w:tc>
          <w:tcPr>
            <w:tcW w:type="dxa" w:w="7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Dashboard background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Surface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card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#FFFFFF</w:t>
            </w:r>
          </w:p>
        </w:tc>
        <w:tc>
          <w:tcPr>
            <w:tcW w:type="dxa" w:w="7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All cards; worksheet table and title backgrounds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Surface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header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#17293F</w:t>
            </w:r>
          </w:p>
        </w:tc>
        <w:tc>
          <w:tcPr>
            <w:tcW w:type="dxa" w:w="792"/>
            <w:shd w:val="clear" w:fill="17293f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Dashboard header band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Ink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heading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#16283C</w:t>
            </w:r>
          </w:p>
        </w:tc>
        <w:tc>
          <w:tcPr>
            <w:tcW w:type="dxa" w:w="792"/>
            <w:shd w:val="clear" w:fill="16283c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Chart titles, KPI values, emphasis text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Ink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body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#42566C</w:t>
            </w:r>
          </w:p>
        </w:tc>
        <w:tc>
          <w:tcPr>
            <w:tcW w:type="dxa" w:w="792"/>
            <w:shd w:val="clear" w:fill="42566c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Worksheet text, footnotes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Ink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muted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#75879D</w:t>
            </w:r>
          </w:p>
        </w:tc>
        <w:tc>
          <w:tcPr>
            <w:tcW w:type="dxa" w:w="792"/>
            <w:shd w:val="clear" w:fill="75879d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 labels, captions, reference lines, tooltips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Ink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inverse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#FFFFFF</w:t>
            </w:r>
          </w:p>
        </w:tc>
        <w:tc>
          <w:tcPr>
            <w:tcW w:type="dxa" w:w="7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Title text on the header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Ink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inverseMuted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#B9C8DB</w:t>
            </w:r>
          </w:p>
        </w:tc>
        <w:tc>
          <w:tcPr>
            <w:tcW w:type="dxa" w:w="792"/>
            <w:shd w:val="clear" w:fill="b9c8db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Subtitle text on the header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Line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hairline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#E3EAF2</w:t>
            </w:r>
          </w:p>
        </w:tc>
        <w:tc>
          <w:tcPr>
            <w:tcW w:type="dxa" w:w="792"/>
            <w:shd w:val="clear" w:fill="e3eaf2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Card borders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Line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headerRule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#33517A</w:t>
            </w:r>
          </w:p>
        </w:tc>
        <w:tc>
          <w:tcPr>
            <w:tcW w:type="dxa" w:w="792"/>
            <w:shd w:val="clear" w:fill="33517a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Navigation button border</w:t>
            </w:r>
          </w:p>
        </w:tc>
      </w:tr>
    </w:tbl>
    <w:p>
      <w:pPr>
        <w:pStyle w:val="Heading2"/>
      </w:pPr>
      <w:r>
        <w:rPr>
          <w:rFonts w:ascii="Calibri" w:hAnsi="Calibri"/>
          <w:color w:val="16283C"/>
        </w:rPr>
        <w:t>4.2  Brand, series and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800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368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7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43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Applied to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Brand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primary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#2C7DA0</w:t>
            </w:r>
          </w:p>
        </w:tc>
        <w:tc>
          <w:tcPr>
            <w:tcW w:type="dxa" w:w="792"/>
            <w:shd w:val="clear" w:fill="2c7da0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Accent rule, KPI card accent strips, Avg-AQI marks, 2022 series, parameter highlight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Brand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primaryDark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#1F5F80</w:t>
            </w:r>
          </w:p>
        </w:tc>
        <w:tc>
          <w:tcPr>
            <w:tcW w:type="dxa" w:w="792"/>
            <w:shd w:val="clear" w:fill="1f5f80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Reserved for emphasis / hover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Series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prior (2021)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#B3C5D6</w:t>
            </w:r>
          </w:p>
        </w:tc>
        <w:tc>
          <w:tcPr>
            <w:tcW w:type="dxa" w:w="792"/>
            <w:shd w:val="clear" w:fill="b3c5d6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Prior-year marks and bars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Series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current (2022)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#2C7DA0</w:t>
            </w:r>
          </w:p>
        </w:tc>
        <w:tc>
          <w:tcPr>
            <w:tcW w:type="dxa" w:w="792"/>
            <w:shd w:val="clear" w:fill="2c7da0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Current-year marks and bars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Status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good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#4E9D77</w:t>
            </w:r>
          </w:p>
        </w:tc>
        <w:tc>
          <w:tcPr>
            <w:tcW w:type="dxa" w:w="792"/>
            <w:shd w:val="clear" w:fill="4e9d77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Low AQI category; within NAAQS limits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Status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moderate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#E5AF4E</w:t>
            </w:r>
          </w:p>
        </w:tc>
        <w:tc>
          <w:tcPr>
            <w:tcW w:type="dxa" w:w="792"/>
            <w:shd w:val="clear" w:fill="e5af4e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Moderate AQI category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Status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bad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#D26A66</w:t>
            </w:r>
          </w:p>
        </w:tc>
        <w:tc>
          <w:tcPr>
            <w:tcW w:type="dxa" w:w="792"/>
            <w:shd w:val="clear" w:fill="d26a66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High AQI category; exceedance days</w:t>
            </w:r>
          </w:p>
        </w:tc>
      </w:tr>
    </w:tbl>
    <w:p>
      <w:pPr>
        <w:pStyle w:val="Heading2"/>
      </w:pPr>
      <w:r>
        <w:rPr>
          <w:rFonts w:ascii="Calibri" w:hAnsi="Calibri"/>
          <w:color w:val="16283C"/>
        </w:rPr>
        <w:t>4.3  Categorical and pollutant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800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Series</w:t>
            </w:r>
          </w:p>
        </w:tc>
        <w:tc>
          <w:tcPr>
            <w:tcW w:type="dxa" w:w="1368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7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439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Applied to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PM2.5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#CE6F6B</w:t>
            </w:r>
          </w:p>
        </w:tc>
        <w:tc>
          <w:tcPr>
            <w:tcW w:type="dxa" w:w="792"/>
            <w:shd w:val="clear" w:fill="ce6f6b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PM2.5 — bars, legends, encodings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PM10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#E5AF4E</w:t>
            </w:r>
          </w:p>
        </w:tc>
        <w:tc>
          <w:tcPr>
            <w:tcW w:type="dxa" w:w="792"/>
            <w:shd w:val="clear" w:fill="e5af4e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PM10 — bars, legends, encodings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CO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#2C7DA0</w:t>
            </w:r>
          </w:p>
        </w:tc>
        <w:tc>
          <w:tcPr>
            <w:tcW w:type="dxa" w:w="792"/>
            <w:shd w:val="clear" w:fill="2c7da0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CO — bars, legends, encodings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NO2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#4E9D77</w:t>
            </w:r>
          </w:p>
        </w:tc>
        <w:tc>
          <w:tcPr>
            <w:tcW w:type="dxa" w:w="792"/>
            <w:shd w:val="clear" w:fill="4e9d77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NO2 — bars, legends, encodings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O3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#8577B5</w:t>
            </w:r>
          </w:p>
        </w:tc>
        <w:tc>
          <w:tcPr>
            <w:tcW w:type="dxa" w:w="792"/>
            <w:shd w:val="clear" w:fill="8577b5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O3 — bars, legends, encodings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SO2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#4BA3A8</w:t>
            </w:r>
          </w:p>
        </w:tc>
        <w:tc>
          <w:tcPr>
            <w:tcW w:type="dxa" w:w="792"/>
            <w:shd w:val="clear" w:fill="4ba3a8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SO2 — bars, legends, encodings</w:t>
            </w:r>
          </w:p>
        </w:tc>
      </w:tr>
      <w:tr>
        <w:tc>
          <w:tcPr>
            <w:tcW w:type="dxa" w:w="129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NH3</w:t>
            </w:r>
          </w:p>
        </w:tc>
        <w:tc>
          <w:tcPr>
            <w:tcW w:type="dxa" w:w="136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#9BA75D</w:t>
            </w:r>
          </w:p>
        </w:tc>
        <w:tc>
          <w:tcPr>
            <w:tcW w:type="dxa" w:w="792"/>
            <w:shd w:val="clear" w:fill="9ba75d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NH3 — bars, legends, encodings</w:t>
            </w:r>
          </w:p>
        </w:tc>
      </w:tr>
      <w:tr>
        <w:tc>
          <w:tcPr>
            <w:tcW w:type="dxa" w:w="129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Pollutant</w:t>
            </w:r>
          </w:p>
        </w:tc>
        <w:tc>
          <w:tcPr>
            <w:tcW w:type="dxa" w:w="180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NO</w:t>
            </w:r>
          </w:p>
        </w:tc>
        <w:tc>
          <w:tcPr>
            <w:tcW w:type="dxa" w:w="136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#AD8B66</w:t>
            </w:r>
          </w:p>
        </w:tc>
        <w:tc>
          <w:tcPr>
            <w:tcW w:type="dxa" w:w="792"/>
            <w:shd w:val="clear" w:fill="ad8b66"/>
          </w:tcPr>
          <w:p>
            <w:r/>
            <w:r>
              <w:rPr>
                <w:rFonts w:ascii="Calibri" w:hAnsi="Calibri"/>
                <w:b w:val="0"/>
                <w:color w:val="42566C"/>
                <w:sz w:val="4"/>
              </w:rPr>
            </w:r>
          </w:p>
        </w:tc>
        <w:tc>
          <w:tcPr>
            <w:tcW w:type="dxa" w:w="439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Fixed color for NO — bars, legends, encodings</w:t>
            </w:r>
          </w:p>
        </w:tc>
      </w:tr>
    </w:tbl>
    <w:p>
      <w:pPr>
        <w:pStyle w:val="Heading2"/>
      </w:pPr>
      <w:r>
        <w:rPr>
          <w:rFonts w:ascii="Calibri" w:hAnsi="Calibri"/>
          <w:color w:val="16283C"/>
        </w:rPr>
        <w:t>4.4  Semantic color locks</w:t>
      </w:r>
    </w:p>
    <w:p>
      <w:pPr>
        <w:pStyle w:val="ListBullet"/>
      </w:pPr>
      <w:r>
        <w:rPr>
          <w:rFonts w:ascii="Calibri" w:hAnsi="Calibri"/>
          <w:b/>
          <w:color w:val="16283C"/>
          <w:sz w:val="21"/>
        </w:rPr>
        <w:t xml:space="preserve">Years:  </w:t>
      </w:r>
      <w:r>
        <w:rPr>
          <w:rFonts w:ascii="Calibri" w:hAnsi="Calibri"/>
          <w:color w:val="42566C"/>
          <w:sz w:val="21"/>
        </w:rPr>
        <w:t>2021 → series.prior, 2022 → series.current — every year-colored mark in the workbook.</w:t>
      </w:r>
    </w:p>
    <w:p>
      <w:pPr>
        <w:pStyle w:val="ListBullet"/>
      </w:pPr>
      <w:r>
        <w:rPr>
          <w:rFonts w:ascii="Calibri" w:hAnsi="Calibri"/>
          <w:b/>
          <w:color w:val="16283C"/>
          <w:sz w:val="21"/>
        </w:rPr>
        <w:t xml:space="preserve">AQI category:  </w:t>
      </w:r>
      <w:r>
        <w:rPr>
          <w:rFonts w:ascii="Calibri" w:hAnsi="Calibri"/>
          <w:color w:val="42566C"/>
          <w:sz w:val="21"/>
        </w:rPr>
        <w:t>Low → good, Moderate → moderate, High → bad (map bubbles and legends).</w:t>
      </w:r>
    </w:p>
    <w:p>
      <w:pPr>
        <w:pStyle w:val="ListBullet"/>
      </w:pPr>
      <w:r>
        <w:rPr>
          <w:rFonts w:ascii="Calibri" w:hAnsi="Calibri"/>
          <w:b/>
          <w:color w:val="16283C"/>
          <w:sz w:val="21"/>
        </w:rPr>
        <w:t xml:space="preserve">Exceedance flag:  </w:t>
      </w:r>
      <w:r>
        <w:rPr>
          <w:rFonts w:ascii="Calibri" w:hAnsi="Calibri"/>
          <w:color w:val="42566C"/>
          <w:sz w:val="21"/>
        </w:rPr>
        <w:t>Normal → good, High → bad (days above the NAAQS 24-hour limit).</w:t>
      </w:r>
    </w:p>
    <w:p>
      <w:pPr>
        <w:pStyle w:val="ListBullet"/>
      </w:pPr>
      <w:r>
        <w:rPr>
          <w:rFonts w:ascii="Calibri" w:hAnsi="Calibri"/>
          <w:b/>
          <w:color w:val="16283C"/>
          <w:sz w:val="21"/>
        </w:rPr>
        <w:t xml:space="preserve">Pollutants:  </w:t>
      </w:r>
      <w:r>
        <w:rPr>
          <w:rFonts w:ascii="Calibri" w:hAnsi="Calibri"/>
          <w:color w:val="42566C"/>
          <w:sz w:val="21"/>
        </w:rPr>
        <w:t>each of the eight pollutants keeps one fixed color across all sheets.</w:t>
      </w:r>
    </w:p>
    <w:p>
      <w:pPr>
        <w:pStyle w:val="Heading2"/>
      </w:pPr>
      <w:r>
        <w:rPr>
          <w:rFonts w:ascii="Calibri" w:hAnsi="Calibri"/>
          <w:color w:val="16283C"/>
        </w:rPr>
        <w:t>4.5 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Font</w:t>
            </w:r>
          </w:p>
        </w:tc>
        <w:tc>
          <w:tcPr>
            <w:tcW w:type="dxa" w:w="1728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Size</w:t>
            </w:r>
          </w:p>
        </w:tc>
        <w:tc>
          <w:tcPr>
            <w:tcW w:type="dxa" w:w="2304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Weight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Dashboard title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 Bold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22</w:t>
            </w:r>
          </w:p>
        </w:tc>
        <w:tc>
          <w:tcPr>
            <w:tcW w:type="dxa" w:w="230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Bold</w:t>
            </w:r>
          </w:p>
        </w:tc>
      </w:tr>
      <w:tr>
        <w:tc>
          <w:tcPr>
            <w:tcW w:type="dxa" w:w="244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Dashboard subtitle</w:t>
            </w:r>
          </w:p>
        </w:tc>
        <w:tc>
          <w:tcPr>
            <w:tcW w:type="dxa" w:w="216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</w:t>
            </w:r>
          </w:p>
        </w:tc>
        <w:tc>
          <w:tcPr>
            <w:tcW w:type="dxa" w:w="172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10</w:t>
            </w:r>
          </w:p>
        </w:tc>
        <w:tc>
          <w:tcPr>
            <w:tcW w:type="dxa" w:w="230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Regular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Chart titles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 Bold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12</w:t>
            </w:r>
          </w:p>
        </w:tc>
        <w:tc>
          <w:tcPr>
            <w:tcW w:type="dxa" w:w="230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Bold</w:t>
            </w:r>
          </w:p>
        </w:tc>
      </w:tr>
      <w:tr>
        <w:tc>
          <w:tcPr>
            <w:tcW w:type="dxa" w:w="244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 labels</w:t>
            </w:r>
          </w:p>
        </w:tc>
        <w:tc>
          <w:tcPr>
            <w:tcW w:type="dxa" w:w="216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</w:t>
            </w:r>
          </w:p>
        </w:tc>
        <w:tc>
          <w:tcPr>
            <w:tcW w:type="dxa" w:w="172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10</w:t>
            </w:r>
          </w:p>
        </w:tc>
        <w:tc>
          <w:tcPr>
            <w:tcW w:type="dxa" w:w="230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Regular (uppercase)</w:t>
            </w:r>
          </w:p>
        </w:tc>
      </w:tr>
      <w:tr>
        <w:tc>
          <w:tcPr>
            <w:tcW w:type="dxa" w:w="244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 values</w:t>
            </w:r>
          </w:p>
        </w:tc>
        <w:tc>
          <w:tcPr>
            <w:tcW w:type="dxa" w:w="2160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 Bold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18–26</w:t>
            </w:r>
          </w:p>
        </w:tc>
        <w:tc>
          <w:tcPr>
            <w:tcW w:type="dxa" w:w="230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Bold</w:t>
            </w:r>
          </w:p>
        </w:tc>
      </w:tr>
      <w:tr>
        <w:tc>
          <w:tcPr>
            <w:tcW w:type="dxa" w:w="244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Footnotes</w:t>
            </w:r>
          </w:p>
        </w:tc>
        <w:tc>
          <w:tcPr>
            <w:tcW w:type="dxa" w:w="2160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Tableau</w:t>
            </w:r>
          </w:p>
        </w:tc>
        <w:tc>
          <w:tcPr>
            <w:tcW w:type="dxa" w:w="1728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9</w:t>
            </w:r>
          </w:p>
        </w:tc>
        <w:tc>
          <w:tcPr>
            <w:tcW w:type="dxa" w:w="230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Regular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42566C"/>
          <w:sz w:val="19"/>
        </w:rPr>
        <w:t>Tableau’s bundled font family is used throughout so the workbook renders identically on every machine — no font installation required.</w:t>
      </w:r>
    </w:p>
    <w:p>
      <w:pPr>
        <w:pStyle w:val="Heading2"/>
      </w:pPr>
      <w:r>
        <w:rPr>
          <w:rFonts w:ascii="Calibri" w:hAnsi="Calibri"/>
          <w:color w:val="16283C"/>
        </w:rPr>
        <w:t>4.6  Layout grid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1% page margins and 1% gutters between cards on both dashboards.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Full-bleed navy header band (9.5% height) followed by a brand accent rule.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Bands stack vertically: header → controls (drilldown) → KPI band → chart grid → footnote.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Sizing mode is Automatic, so the percent-based grid adapts to any screen.</w:t>
      </w:r>
    </w:p>
    <w:p>
      <w:pPr>
        <w:pStyle w:val="Heading1"/>
      </w:pPr>
      <w:r>
        <w:rPr>
          <w:rFonts w:ascii="Calibri" w:hAnsi="Calibri"/>
          <w:color w:val="16283C"/>
        </w:rPr>
        <w:t>5.  Worksheet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Worksheet</w:t>
            </w:r>
          </w:p>
        </w:tc>
        <w:tc>
          <w:tcPr>
            <w:tcW w:type="dxa" w:w="1224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417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Shows</w:t>
            </w:r>
          </w:p>
        </w:tc>
        <w:tc>
          <w:tcPr>
            <w:tcW w:type="dxa" w:w="2016"/>
            <w:shd w:val="clear" w:fill="16283c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Used on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 xml:space="preserve">National AQI 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National average AQI (Year filter aware)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KPI band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% Change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Year-over-year change in average AQI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KPI band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Most Polluted City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City with the highest average AQI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KPI band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Cleanest City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City with the lowest average AQI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KPI band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Peak Pollution Month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Month with the highest average AQI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KPI band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Total Records Monitored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Count of daily readings in scope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footnote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Map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Map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Bubble map of average AQI for all 26 cities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chart grid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Monthly Y Variation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Matrix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Monthly average AQI for 2021, 2022 and the YoY delta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chart grid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Top 5 Pollutants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Bar chart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Top five pollutants by average concentration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Nationwide · chart grid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City Selector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Name of the city currently selected by the filter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KPI band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 xml:space="preserve">Avg AQI 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Average AQI for the selected city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KPI band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 Peak Pollution Month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Peak pollution month for the selected city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KPI band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Unhealthy AQI Days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KPI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Share of days with AQI ≥ 4 for the selected city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KPI band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Avg Conc Year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Bar chart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Selected pollutant, 2021 vs 2022, vs NAAQS annual limit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chart grid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City Map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Map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Locator map that zooms to the selected city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chart grid</w:t>
            </w:r>
          </w:p>
        </w:tc>
      </w:tr>
      <w:tr>
        <w:tc>
          <w:tcPr>
            <w:tcW w:type="dxa" w:w="2232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Monthly Avg Concentration</w:t>
            </w:r>
          </w:p>
        </w:tc>
        <w:tc>
          <w:tcPr>
            <w:tcW w:type="dxa" w:w="1224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Bar chart</w:t>
            </w:r>
          </w:p>
        </w:tc>
        <w:tc>
          <w:tcPr>
            <w:tcW w:type="dxa" w:w="417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Monthly concentration of the selected pollutant by year</w:t>
            </w:r>
          </w:p>
        </w:tc>
        <w:tc>
          <w:tcPr>
            <w:tcW w:type="dxa" w:w="2016"/>
            <w:shd w:val="clear" w:fill="f2f5f9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chart grid</w:t>
            </w:r>
          </w:p>
        </w:tc>
      </w:tr>
      <w:tr>
        <w:tc>
          <w:tcPr>
            <w:tcW w:type="dxa" w:w="2232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Percentage of Days</w:t>
            </w:r>
          </w:p>
        </w:tc>
        <w:tc>
          <w:tcPr>
            <w:tcW w:type="dxa" w:w="1224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Bar chart</w:t>
            </w:r>
          </w:p>
        </w:tc>
        <w:tc>
          <w:tcPr>
            <w:tcW w:type="dxa" w:w="417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Share of days above the NAAQS 24-hour limit, with threshold reference</w:t>
            </w:r>
          </w:p>
        </w:tc>
        <w:tc>
          <w:tcPr>
            <w:tcW w:type="dxa" w:w="2016"/>
            <w:shd w:val="clear" w:fill="ffffff"/>
          </w:tcPr>
          <w:p>
            <w:r/>
            <w:r>
              <w:rPr>
                <w:rFonts w:ascii="Calibri" w:hAnsi="Calibri"/>
                <w:b w:val="0"/>
                <w:color w:val="42566C"/>
                <w:sz w:val="19"/>
              </w:rPr>
              <w:t>Drilldown · chart grid</w:t>
            </w:r>
          </w:p>
        </w:tc>
      </w:tr>
    </w:tbl>
    <w:p>
      <w:pPr>
        <w:pStyle w:val="Heading1"/>
      </w:pPr>
      <w:r>
        <w:rPr>
          <w:rFonts w:ascii="Calibri" w:hAnsi="Calibri"/>
          <w:color w:val="16283C"/>
        </w:rPr>
        <w:t>6.  Re-theming the workbook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  <w:t>The color code is modular: change tokens in theme/palette.json, re-run one command, and the entire workbook — dashboards, worksheets, mark colors, map, buttons, previews and this document — re-skins together. The build is idempotent, so it can be run on an already-themed workbook at any time.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Edit theme/palette.json (colors and/or font sizes).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Run: python3 theme/apply_theme.py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Optional: python3 theme/make_doc.py to regenerate this document.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Open Air_Pollution_Dashboard.twbx in Tableau — the new theme is applied.</w:t>
      </w:r>
    </w:p>
    <w:p>
      <w:pPr>
        <w:spacing w:after="120"/>
      </w:pPr>
      <w:r>
        <w:rPr>
          <w:rFonts w:ascii="Calibri" w:hAnsi="Calibri"/>
          <w:b/>
          <w:i w:val="0"/>
          <w:color w:val="42566C"/>
          <w:sz w:val="20"/>
        </w:rPr>
        <w:t>Example — a warmer brand in two tokens:</w:t>
      </w:r>
    </w:p>
    <w:p>
      <w:r>
        <w:rPr>
          <w:rFonts w:ascii="Consolas" w:hAnsi="Consolas"/>
          <w:color w:val="16283C"/>
          <w:sz w:val="19"/>
        </w:rPr>
        <w:t>"brand": { "primary": "#B3541E", "primaryDark": "#8C3F16" },</w:t>
        <w:br/>
        <w:t>"surface": { "canvas": "#F7F2EC", "card": "#FFFFFF", "header": "#3B2A1D" }</w:t>
      </w:r>
    </w:p>
    <w:p>
      <w:pPr>
        <w:pStyle w:val="Heading1"/>
      </w:pPr>
      <w:r>
        <w:rPr>
          <w:rFonts w:ascii="Calibri" w:hAnsi="Calibri"/>
          <w:color w:val="16283C"/>
        </w:rPr>
        <w:t>7.  Quality assurance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Generated workbook XML is well-formed and opens cleanly in Tableau.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Zone geometry audited programmatically — no overlaps, nothing out of bounds on either dashboard.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Every color literal in the workbook resolves to a palette token (zero stray colors).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Data extracts (.hyper) byte-identical to the original upload — no data was touched.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All navigation buttons resolve to their target windows; all worksheet references valid.</w:t>
      </w:r>
    </w:p>
    <w:p>
      <w:pPr>
        <w:pStyle w:val="ListBullet"/>
      </w:pPr>
      <w:r>
        <w:rPr>
          <w:rFonts w:ascii="Calibri" w:hAnsi="Calibri"/>
          <w:color w:val="42566C"/>
          <w:sz w:val="21"/>
        </w:rPr>
        <w:t>Theme builder verified idempotent — consecutive runs produce identical workbook content.</w:t>
      </w:r>
    </w:p>
    <w:p>
      <w:pPr>
        <w:spacing w:after="120"/>
      </w:pPr>
      <w:r>
        <w:rPr>
          <w:rFonts w:ascii="Calibri" w:hAnsi="Calibri"/>
          <w:b w:val="0"/>
          <w:i w:val="0"/>
          <w:color w:val="42566C"/>
          <w:sz w:val="21"/>
        </w:rPr>
      </w:r>
    </w:p>
    <w:p>
      <w:pPr>
        <w:jc w:val="center"/>
      </w:pPr>
      <w:r>
        <w:rPr>
          <w:i/>
          <w:color w:val="75879D"/>
          <w:sz w:val="17"/>
        </w:rPr>
        <w:t>Generated from theme/palette.json · Atmos Design System v1.1.0 · 02 Oct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2566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