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center" w:pos="2268" w:leader="none"/>
          <w:tab w:val="center" w:pos="7380" w:leader="none"/>
        </w:tabs>
        <w:rPr/>
      </w:pPr>
      <w:r>
        <w:rPr/>
        <w:tab/>
      </w:r>
      <w:r>
        <w:rPr>
          <w:b/>
          <w:sz w:val="22"/>
          <w:szCs w:val="22"/>
        </w:rPr>
        <w:t>CÔNG TY CỔ PHẦN THẨM ĐỊNH GIÁ THẾ KỶ</w:t>
        <w:tab/>
        <w:t>CỘNG HÒA XÃ HỘI CHỦ NGHĨA VIỆT NAM</w:t>
      </w:r>
    </w:p>
    <w:p>
      <w:pPr>
        <w:pStyle w:val="Normal"/>
        <w:tabs>
          <w:tab w:val="clear" w:pos="720"/>
          <w:tab w:val="center" w:pos="2268" w:leader="none"/>
          <w:tab w:val="center" w:pos="7020" w:leader="none"/>
        </w:tabs>
        <w:rPr/>
      </w:pPr>
      <w:r>
        <w:rPr>
          <w:b/>
          <w:sz w:val="22"/>
          <w:szCs w:val="22"/>
        </w:rPr>
        <w:tab/>
        <w:t>Số: 010/2026/N04.0109/DN/HĐTĐG</w:t>
        <w:tab/>
        <w:t>Độc lập - Tự do - Hạnh phúc</w:t>
      </w:r>
      <w:r>
        <w:rPr>
          <w:sz w:val="22"/>
          <w:szCs w:val="22"/>
        </w:rPr>
      </w:r>
      <w:r>
        <w:rPr>
          <w:color w:val="000000"/>
          <w:sz w:val="22"/>
          <w:szCs w:val="22"/>
        </w:rPr>
      </w:r>
      <w:r>
        <w:rPr>
          <w:color w:val="000000"/>
          <w:sz w:val="22"/>
          <w:szCs w:val="22"/>
          <w:lang w:val="vi-VN"/>
        </w:rPr>
      </w:r>
      <w:r>
        <w:rPr>
          <w:color w:val="000000"/>
          <w:sz w:val="22"/>
          <w:szCs w:val="22"/>
        </w:rPr>
      </w:r>
      <w:r>
        <w:rPr>
          <w:sz w:val="22"/>
          <w:szCs w:val="22"/>
        </w:rPr>
      </w:r>
    </w:p>
    <w:p>
      <w:pPr>
        <w:pStyle w:val="Normal"/>
        <w:tabs>
          <w:tab w:val="clear" w:pos="720"/>
          <w:tab w:val="center" w:pos="1843" w:leader="none"/>
          <w:tab w:val="center" w:pos="7020" w:leader="none"/>
        </w:tabs>
        <w:rPr>
          <w:sz w:val="22"/>
          <w:szCs w:val="22"/>
        </w:rPr>
      </w:pPr>
      <w:r>
        <w:rPr>
          <w:sz w:val="22"/>
          <w:szCs w:val="22"/>
        </w:rPr>
        <w:tab/>
        <w:t xml:space="preserve">                </w:t>
        <w:tab/>
        <w:t>----------o0o----------</w:t>
      </w:r>
    </w:p>
    <w:p>
      <w:pPr>
        <w:pStyle w:val="Normal"/>
        <w:jc w:val="center"/>
        <w:rPr>
          <w:b/>
          <w:sz w:val="32"/>
          <w:szCs w:val="32"/>
        </w:rPr>
      </w:pPr>
      <w:r>
        <w:rPr>
          <w:b/>
          <w:sz w:val="32"/>
          <w:szCs w:val="32"/>
        </w:rPr>
      </w:r>
    </w:p>
    <w:p>
      <w:pPr>
        <w:pStyle w:val="Normal"/>
        <w:jc w:val="center"/>
        <w:rPr>
          <w:b/>
          <w:sz w:val="28"/>
          <w:szCs w:val="28"/>
        </w:rPr>
      </w:pPr>
      <w:r>
        <w:rPr>
          <w:b/>
          <w:sz w:val="28"/>
          <w:szCs w:val="28"/>
        </w:rPr>
        <w:t xml:space="preserve">HỢP ĐỒNG DỊCH VỤ THẨM ĐỊNH GIÁ </w:t>
      </w:r>
    </w:p>
    <w:p>
      <w:pPr>
        <w:pStyle w:val="Normal"/>
        <w:jc w:val="center"/>
        <w:rPr>
          <w:b/>
          <w:sz w:val="22"/>
          <w:szCs w:val="22"/>
        </w:rPr>
      </w:pPr>
      <w:r>
        <w:rPr>
          <w:b/>
          <w:sz w:val="22"/>
          <w:szCs w:val="22"/>
        </w:rPr>
      </w:r>
    </w:p>
    <w:p>
      <w:pPr>
        <w:pStyle w:val="Normal"/>
        <w:numPr>
          <w:ilvl w:val="0"/>
          <w:numId w:val="2"/>
        </w:numPr>
        <w:tabs>
          <w:tab w:val="clear" w:pos="720"/>
          <w:tab w:val="left" w:pos="270" w:leader="none"/>
          <w:tab w:val="left" w:pos="993" w:leader="none"/>
        </w:tabs>
        <w:spacing w:lineRule="auto" w:line="360"/>
        <w:ind w:hanging="0" w:start="709" w:end="0"/>
        <w:jc w:val="both"/>
        <w:rPr>
          <w:i/>
          <w:sz w:val="22"/>
          <w:szCs w:val="22"/>
        </w:rPr>
      </w:pPr>
      <w:r>
        <w:rPr>
          <w:i/>
          <w:sz w:val="22"/>
          <w:szCs w:val="22"/>
        </w:rPr>
        <w:t xml:space="preserve">Căn cứ  </w:t>
      </w:r>
      <w:r>
        <w:rPr>
          <w:b/>
          <w:i/>
          <w:sz w:val="22"/>
          <w:szCs w:val="22"/>
        </w:rPr>
        <w:t>Luật Thương Mại số 36/2005/QH11</w:t>
      </w:r>
      <w:r>
        <w:rPr>
          <w:i/>
          <w:sz w:val="22"/>
          <w:szCs w:val="22"/>
        </w:rPr>
        <w:t xml:space="preserve"> được Quốc hội thông qua ngày 14/6/2005;</w:t>
      </w:r>
    </w:p>
    <w:p>
      <w:pPr>
        <w:pStyle w:val="Normal"/>
        <w:numPr>
          <w:ilvl w:val="0"/>
          <w:numId w:val="2"/>
        </w:numPr>
        <w:tabs>
          <w:tab w:val="clear" w:pos="720"/>
          <w:tab w:val="left" w:pos="270" w:leader="none"/>
          <w:tab w:val="left" w:pos="993" w:leader="none"/>
        </w:tabs>
        <w:spacing w:lineRule="auto" w:line="360"/>
        <w:ind w:hanging="0" w:start="709" w:end="0"/>
        <w:jc w:val="both"/>
        <w:rPr>
          <w:i/>
          <w:sz w:val="22"/>
          <w:szCs w:val="22"/>
        </w:rPr>
      </w:pPr>
      <w:r>
        <w:rPr>
          <w:i/>
          <w:sz w:val="22"/>
          <w:szCs w:val="22"/>
        </w:rPr>
        <w:t xml:space="preserve">Căn cứ </w:t>
      </w:r>
      <w:r>
        <w:rPr>
          <w:b/>
          <w:i/>
          <w:iCs/>
          <w:spacing w:val="-4"/>
          <w:sz w:val="22"/>
          <w:szCs w:val="22"/>
        </w:rPr>
        <w:t>Luật giá</w:t>
      </w:r>
      <w:r>
        <w:rPr>
          <w:b/>
          <w:bCs/>
          <w:i/>
          <w:iCs/>
          <w:spacing w:val="-4"/>
          <w:sz w:val="22"/>
          <w:szCs w:val="22"/>
        </w:rPr>
        <w:t xml:space="preserve"> </w:t>
      </w:r>
      <w:r>
        <w:rPr>
          <w:b/>
          <w:i/>
          <w:iCs/>
          <w:spacing w:val="-4"/>
          <w:sz w:val="22"/>
          <w:szCs w:val="22"/>
        </w:rPr>
        <w:t>số 1</w:t>
      </w:r>
      <w:r>
        <w:rPr>
          <w:b/>
          <w:i/>
          <w:iCs/>
          <w:spacing w:val="-4"/>
          <w:sz w:val="22"/>
          <w:szCs w:val="22"/>
          <w:lang w:val="vi-VN"/>
        </w:rPr>
        <w:t>6</w:t>
      </w:r>
      <w:r>
        <w:rPr>
          <w:b/>
          <w:i/>
          <w:iCs/>
          <w:spacing w:val="-4"/>
          <w:sz w:val="22"/>
          <w:szCs w:val="22"/>
        </w:rPr>
        <w:t>/20</w:t>
      </w:r>
      <w:r>
        <w:rPr>
          <w:b/>
          <w:i/>
          <w:iCs/>
          <w:spacing w:val="-4"/>
          <w:sz w:val="22"/>
          <w:szCs w:val="22"/>
          <w:lang w:val="vi-VN"/>
        </w:rPr>
        <w:t>23</w:t>
      </w:r>
      <w:r>
        <w:rPr>
          <w:b/>
          <w:i/>
          <w:iCs/>
          <w:spacing w:val="-4"/>
          <w:sz w:val="22"/>
          <w:szCs w:val="22"/>
        </w:rPr>
        <w:t>/QH1</w:t>
      </w:r>
      <w:r>
        <w:rPr>
          <w:b/>
          <w:i/>
          <w:iCs/>
          <w:spacing w:val="-4"/>
          <w:sz w:val="22"/>
          <w:szCs w:val="22"/>
          <w:lang w:val="vi-VN"/>
        </w:rPr>
        <w:t>5</w:t>
      </w:r>
      <w:r>
        <w:rPr>
          <w:i/>
          <w:iCs/>
          <w:spacing w:val="-4"/>
          <w:sz w:val="22"/>
          <w:szCs w:val="22"/>
        </w:rPr>
        <w:t xml:space="preserve"> được Quốc hội khóa XI</w:t>
      </w:r>
      <w:r>
        <w:rPr>
          <w:i/>
          <w:iCs/>
          <w:spacing w:val="-4"/>
          <w:sz w:val="22"/>
          <w:szCs w:val="22"/>
          <w:lang w:val="vi-VN"/>
        </w:rPr>
        <w:t>V</w:t>
      </w:r>
      <w:r>
        <w:rPr>
          <w:i/>
          <w:iCs/>
          <w:spacing w:val="-4"/>
          <w:sz w:val="22"/>
          <w:szCs w:val="22"/>
        </w:rPr>
        <w:t xml:space="preserve">, thông qua ngày </w:t>
      </w:r>
      <w:r>
        <w:rPr>
          <w:i/>
          <w:iCs/>
          <w:spacing w:val="-4"/>
          <w:sz w:val="22"/>
          <w:szCs w:val="22"/>
          <w:lang w:val="vi-VN"/>
        </w:rPr>
        <w:t>19</w:t>
      </w:r>
      <w:r>
        <w:rPr>
          <w:i/>
          <w:iCs/>
          <w:spacing w:val="-4"/>
          <w:sz w:val="22"/>
          <w:szCs w:val="22"/>
        </w:rPr>
        <w:t>/6/20</w:t>
      </w:r>
      <w:r>
        <w:rPr>
          <w:i/>
          <w:iCs/>
          <w:spacing w:val="-4"/>
          <w:sz w:val="22"/>
          <w:szCs w:val="22"/>
          <w:lang w:val="vi-VN"/>
        </w:rPr>
        <w:t>23</w:t>
      </w:r>
      <w:r>
        <w:rPr>
          <w:i/>
          <w:iCs/>
          <w:spacing w:val="-4"/>
          <w:sz w:val="22"/>
          <w:szCs w:val="22"/>
        </w:rPr>
        <w:t>;</w:t>
      </w:r>
    </w:p>
    <w:p>
      <w:pPr>
        <w:pStyle w:val="Normal"/>
        <w:numPr>
          <w:ilvl w:val="0"/>
          <w:numId w:val="2"/>
        </w:numPr>
        <w:tabs>
          <w:tab w:val="clear" w:pos="720"/>
          <w:tab w:val="left" w:pos="270" w:leader="none"/>
          <w:tab w:val="left" w:pos="993" w:leader="none"/>
        </w:tabs>
        <w:spacing w:lineRule="auto" w:line="360"/>
        <w:ind w:hanging="0" w:start="709" w:end="0"/>
        <w:jc w:val="both"/>
        <w:rPr>
          <w:i/>
          <w:sz w:val="22"/>
          <w:szCs w:val="22"/>
        </w:rPr>
      </w:pPr>
      <w:r>
        <w:rPr>
          <w:i/>
          <w:sz w:val="22"/>
          <w:szCs w:val="22"/>
        </w:rPr>
        <w:t xml:space="preserve">Căn cứ </w:t>
      </w:r>
      <w:r>
        <w:rPr>
          <w:b/>
          <w:i/>
          <w:sz w:val="22"/>
          <w:szCs w:val="22"/>
        </w:rPr>
        <w:t xml:space="preserve">Nghị định số </w:t>
      </w:r>
      <w:r>
        <w:rPr>
          <w:b/>
          <w:i/>
          <w:sz w:val="22"/>
          <w:szCs w:val="22"/>
          <w:lang w:val="vi-VN"/>
        </w:rPr>
        <w:t>78</w:t>
      </w:r>
      <w:r>
        <w:rPr>
          <w:b/>
          <w:i/>
          <w:sz w:val="22"/>
          <w:szCs w:val="22"/>
        </w:rPr>
        <w:t>/</w:t>
      </w:r>
      <w:r>
        <w:rPr>
          <w:b/>
          <w:i/>
          <w:sz w:val="22"/>
          <w:szCs w:val="22"/>
          <w:lang w:val="vi-VN"/>
        </w:rPr>
        <w:t>2024</w:t>
      </w:r>
      <w:r>
        <w:rPr>
          <w:b/>
          <w:i/>
          <w:sz w:val="22"/>
          <w:szCs w:val="22"/>
        </w:rPr>
        <w:t>NĐ-CP</w:t>
      </w:r>
      <w:r>
        <w:rPr>
          <w:i/>
          <w:sz w:val="22"/>
          <w:szCs w:val="22"/>
        </w:rPr>
        <w:t xml:space="preserve"> ngày </w:t>
      </w:r>
      <w:r>
        <w:rPr>
          <w:i/>
          <w:sz w:val="22"/>
          <w:szCs w:val="22"/>
          <w:lang w:val="vi-VN"/>
        </w:rPr>
        <w:t>01</w:t>
      </w:r>
      <w:r>
        <w:rPr>
          <w:i/>
          <w:sz w:val="22"/>
          <w:szCs w:val="22"/>
        </w:rPr>
        <w:t>/0</w:t>
      </w:r>
      <w:r>
        <w:rPr>
          <w:i/>
          <w:sz w:val="22"/>
          <w:szCs w:val="22"/>
          <w:lang w:val="vi-VN"/>
        </w:rPr>
        <w:t>7</w:t>
      </w:r>
      <w:r>
        <w:rPr>
          <w:i/>
          <w:sz w:val="22"/>
          <w:szCs w:val="22"/>
        </w:rPr>
        <w:t>/20</w:t>
      </w:r>
      <w:r>
        <w:rPr>
          <w:i/>
          <w:sz w:val="22"/>
          <w:szCs w:val="22"/>
          <w:lang w:val="vi-VN"/>
        </w:rPr>
        <w:t>24</w:t>
      </w:r>
      <w:r>
        <w:rPr>
          <w:i/>
          <w:sz w:val="22"/>
          <w:szCs w:val="22"/>
        </w:rPr>
        <w:t xml:space="preserve"> của Chính phủ về quy định chi tiết một số điều của luật giá về Thẩm định giá;</w:t>
      </w:r>
    </w:p>
    <w:p>
      <w:pPr>
        <w:pStyle w:val="Normal"/>
        <w:numPr>
          <w:ilvl w:val="0"/>
          <w:numId w:val="2"/>
        </w:numPr>
        <w:tabs>
          <w:tab w:val="clear" w:pos="720"/>
          <w:tab w:val="left" w:pos="993" w:leader="none"/>
        </w:tabs>
        <w:spacing w:lineRule="auto" w:line="360"/>
        <w:ind w:hanging="0" w:start="709" w:end="0"/>
        <w:jc w:val="both"/>
        <w:rPr>
          <w:i/>
          <w:sz w:val="22"/>
          <w:szCs w:val="22"/>
        </w:rPr>
      </w:pPr>
      <w:r>
        <w:rPr>
          <w:i/>
          <w:sz w:val="22"/>
          <w:szCs w:val="22"/>
        </w:rPr>
        <w:t>Căn cứ vào khả năng và nhu cầu của hai bên;</w:t>
      </w:r>
    </w:p>
    <w:p>
      <w:pPr>
        <w:pStyle w:val="Normal"/>
        <w:spacing w:lineRule="auto" w:line="360"/>
        <w:ind w:start="709" w:end="0"/>
        <w:jc w:val="both"/>
        <w:rPr>
          <w:i/>
        </w:rPr>
      </w:pPr>
      <w:r>
        <w:rPr/>
        <w:t>Hôm nay,  ngày  26  tháng 04  năm 2026, chúng tôi gồm có:</w:t>
      </w:r>
      <w:r>
        <w:rPr>
          <w:lang w:val="vi-VN"/>
        </w:rPr>
      </w:r>
      <w:r>
        <w:rPr/>
      </w:r>
      <w:r>
        <w:rPr>
          <w:lang w:val="vi-VN"/>
        </w:rPr>
      </w:r>
      <w:r>
        <w:rPr/>
      </w:r>
      <w:r>
        <w:rPr>
          <w:lang w:val="vi-VN"/>
        </w:rPr>
      </w:r>
      <w:r>
        <w:rPr/>
      </w:r>
    </w:p>
    <w:p>
      <w:pPr>
        <w:pStyle w:val="Normal"/>
        <w:numPr>
          <w:ilvl w:val="0"/>
          <w:numId w:val="3"/>
        </w:numPr>
        <w:tabs>
          <w:tab w:val="clear" w:pos="720"/>
          <w:tab w:val="left" w:pos="1080" w:leader="none"/>
        </w:tabs>
        <w:spacing w:lineRule="auto" w:line="360"/>
        <w:ind w:hanging="357" w:start="1077" w:end="0"/>
        <w:jc w:val="both"/>
        <w:rPr>
          <w:b/>
        </w:rPr>
      </w:pPr>
      <w:r>
        <w:rPr>
          <w:b/>
        </w:rPr>
        <w:t xml:space="preserve">BÊN A (Bên đề nghị thẩm định giá): </w:t>
      </w:r>
    </w:p>
    <w:p>
      <w:pPr>
        <w:pStyle w:val="Normal"/>
        <w:tabs>
          <w:tab w:val="clear" w:pos="720"/>
          <w:tab w:val="left" w:pos="1710" w:leader="none"/>
        </w:tabs>
        <w:spacing w:lineRule="auto" w:line="360"/>
        <w:ind w:hanging="90" w:start="810" w:end="0"/>
        <w:jc w:val="both"/>
        <w:rPr>
          <w:b/>
          <w:highlight w:val="yellow"/>
          <w:lang w:val="vi-VN"/>
        </w:rPr>
      </w:pPr>
      <w:r>
        <w:rPr>
          <w:b/>
          <w:lang w:val="nl-NL"/>
        </w:rPr>
        <w:t>CÔNG TY TNHH QUẢN LÝ NỢ VÀ KHAI THÁC TÀI SẢN NGÂN HÀNG TMCP QUÂN ĐỘI - CHI NHÁNH MIỀN TRUNG VÀ TÂY NGUYÊN</w:t>
      </w:r>
    </w:p>
    <w:p>
      <w:pPr>
        <w:pStyle w:val="Normal"/>
        <w:numPr>
          <w:ilvl w:val="2"/>
          <w:numId w:val="5"/>
        </w:numPr>
        <w:spacing w:lineRule="auto" w:line="360"/>
        <w:ind w:hanging="141" w:start="710" w:end="0"/>
        <w:jc w:val="both"/>
        <w:rPr>
          <w:color w:val="000000"/>
        </w:rPr>
      </w:pPr>
      <w:r>
        <w:rPr>
          <w:bCs/>
          <w:color w:val="000000"/>
          <w:lang w:val="nl-NL"/>
        </w:rPr>
        <w:t>Địa chỉ: xã Ea Tul, tỉnh Đắk Lắk</w:t>
      </w:r>
      <w:r>
        <w:rPr>
          <w:color w:val="000000"/>
          <w:lang w:val="vi-VN"/>
        </w:rPr>
      </w:r>
      <w:r>
        <w:rPr>
          <w:color w:val="000000"/>
        </w:rPr>
      </w:r>
      <w:r>
        <w:rPr>
          <w:color w:val="000000"/>
          <w:lang w:val="vi-VN"/>
        </w:rPr>
      </w:r>
    </w:p>
    <w:p>
      <w:pPr>
        <w:pStyle w:val="Normal"/>
        <w:numPr>
          <w:ilvl w:val="2"/>
          <w:numId w:val="5"/>
        </w:numPr>
        <w:spacing w:lineRule="auto" w:line="360"/>
        <w:ind w:hanging="360" w:start="929" w:end="0"/>
        <w:jc w:val="both"/>
        <w:rPr>
          <w:color w:val="000000"/>
        </w:rPr>
      </w:pPr>
      <w:r>
        <w:rPr>
          <w:color w:val="000000"/>
        </w:rPr>
        <w:t xml:space="preserve">MST: </w:t>
      </w:r>
    </w:p>
    <w:p>
      <w:pPr>
        <w:pStyle w:val="Normal"/>
        <w:spacing w:lineRule="auto" w:line="360"/>
        <w:ind w:start="569" w:end="0"/>
        <w:jc w:val="both"/>
        <w:rPr>
          <w:color w:val="000000"/>
        </w:rPr>
      </w:pPr>
      <w:r>
        <w:rPr>
          <w:color w:val="000000"/>
        </w:rPr>
        <w:t xml:space="preserve">- Đại diện: Ông </w:t>
        <w:tab/>
        <w:tab/>
        <w:t xml:space="preserve">- Chức vụ: </w:t>
      </w:r>
      <w:r>
        <w:rPr>
          <w:sz w:val="22"/>
          <w:szCs w:val="22"/>
        </w:rPr>
      </w:r>
      <w:r>
        <w:rPr>
          <w:b/>
          <w:bCs/>
          <w:sz w:val="22"/>
          <w:szCs w:val="22"/>
        </w:rPr>
      </w:r>
      <w:r>
        <w:rPr>
          <w:color w:val="000000"/>
        </w:rPr>
      </w:r>
      <w:r>
        <w:rPr>
          <w:sz w:val="22"/>
          <w:szCs w:val="22"/>
        </w:rPr>
      </w:r>
    </w:p>
    <w:p>
      <w:pPr>
        <w:pStyle w:val="Normal"/>
        <w:spacing w:lineRule="auto" w:line="360"/>
        <w:ind w:start="569" w:end="0"/>
        <w:jc w:val="both"/>
        <w:rPr/>
      </w:pPr>
      <w:r>
        <w:rPr>
          <w:i/>
          <w:iCs/>
        </w:rPr>
      </w:r>
      <w:r>
        <w:rPr>
          <w:i/>
          <w:iCs/>
          <w:lang w:val="vi-VN"/>
        </w:rPr>
      </w:r>
      <w:r>
        <w:rPr>
          <w:i/>
          <w:iCs/>
        </w:rPr>
      </w:r>
      <w:r>
        <w:rPr>
          <w:i/>
          <w:iCs/>
          <w:lang w:val="vi-VN"/>
        </w:rPr>
      </w:r>
      <w:r>
        <w:rPr>
          <w:i/>
          <w:iCs/>
        </w:rPr>
      </w:r>
      <w:r>
        <w:rPr>
          <w:i/>
          <w:iCs/>
          <w:lang w:val="vi-VN"/>
        </w:rPr>
      </w:r>
      <w:r>
        <w:rPr>
          <w:i/>
          <w:iCs/>
        </w:rPr>
      </w:r>
      <w:r>
        <w:rPr>
          <w:i/>
          <w:iCs/>
          <w:lang w:val="vi-VN"/>
        </w:rPr>
      </w:r>
      <w:r>
        <w:rPr>
          <w:i/>
          <w:iCs/>
        </w:rPr>
      </w:r>
    </w:p>
    <w:p>
      <w:pPr>
        <w:pStyle w:val="Normal"/>
        <w:numPr>
          <w:ilvl w:val="0"/>
          <w:numId w:val="4"/>
        </w:numPr>
        <w:spacing w:lineRule="auto" w:line="360"/>
        <w:ind w:hanging="425" w:start="1134" w:end="0"/>
        <w:jc w:val="both"/>
        <w:rPr>
          <w:b/>
          <w:lang w:val="nl-NL"/>
        </w:rPr>
      </w:pPr>
      <w:r>
        <w:rPr>
          <w:b/>
          <w:lang w:val="nl-NL"/>
        </w:rPr>
        <w:t>BÊN B (Bên thực hiện thẩm định giá):</w:t>
      </w:r>
    </w:p>
    <w:p>
      <w:pPr>
        <w:pStyle w:val="Normal"/>
        <w:spacing w:lineRule="auto" w:line="360"/>
        <w:ind w:firstLine="720" w:end="0"/>
        <w:jc w:val="both"/>
        <w:rPr/>
      </w:pPr>
      <w:r>
        <w:rPr>
          <w:b/>
          <w:lang w:val="nl-NL"/>
        </w:rPr>
        <w:t xml:space="preserve">CÔNG TY CỔ PHẦN THẨM ĐỊNH GIÁ THẾ KỶ - CHI NHÁNH TẠI THÀNH PHỐ HỒ CHÍ MINH </w:t>
      </w:r>
    </w:p>
    <w:p>
      <w:pPr>
        <w:pStyle w:val="Normal"/>
        <w:spacing w:lineRule="auto" w:line="360"/>
        <w:ind w:start="720" w:end="0"/>
        <w:jc w:val="both"/>
        <w:rPr>
          <w:lang w:val="nl-NL"/>
        </w:rPr>
      </w:pPr>
      <w:r>
        <w:rPr>
          <w:lang w:val="nl-NL"/>
        </w:rPr>
        <w:t>- Địa chỉ: Tầng 7, Tòa nhà văn phòng Hoàng Anh Safomec, Số 7/1 Thành Thái, Phường Diên Hồng, TP Hồ Chí Minh, Việt Nam</w:t>
      </w:r>
    </w:p>
    <w:p>
      <w:pPr>
        <w:pStyle w:val="Normal"/>
        <w:spacing w:lineRule="auto" w:line="360"/>
        <w:ind w:firstLine="720" w:end="0"/>
        <w:jc w:val="both"/>
        <w:rPr/>
      </w:pPr>
      <w:r>
        <w:rPr>
          <w:lang w:val="nl-NL"/>
        </w:rPr>
        <w:t>- Điện thoại</w:t>
        <w:tab/>
        <w:t>: (028) 3920 6972</w:t>
        <w:tab/>
        <w:tab/>
      </w:r>
    </w:p>
    <w:p>
      <w:pPr>
        <w:pStyle w:val="Normal"/>
        <w:spacing w:lineRule="auto" w:line="360"/>
        <w:ind w:firstLine="720" w:end="0"/>
        <w:jc w:val="both"/>
        <w:rPr>
          <w:lang w:val="nl-NL"/>
        </w:rPr>
      </w:pPr>
      <w:r>
        <w:rPr>
          <w:lang w:val="nl-NL"/>
        </w:rPr>
        <w:t>- Mã số thuế</w:t>
        <w:tab/>
        <w:t>: 0102658944-002</w:t>
      </w:r>
    </w:p>
    <w:p>
      <w:pPr>
        <w:pStyle w:val="Normal"/>
        <w:spacing w:lineRule="auto" w:line="360"/>
        <w:ind w:firstLine="720" w:end="0"/>
        <w:jc w:val="both"/>
        <w:rPr/>
      </w:pPr>
      <w:r>
        <w:rPr>
          <w:lang w:val="nl-NL"/>
        </w:rPr>
        <w:t>- Đại diện</w:t>
        <w:tab/>
        <w:t xml:space="preserve">: Bà </w:t>
      </w:r>
      <w:r>
        <w:rPr>
          <w:b/>
          <w:lang w:val="nl-NL"/>
        </w:rPr>
        <w:t>ĐẶNG THỊ NHƯ ANH</w:t>
      </w:r>
      <w:r>
        <w:rPr>
          <w:lang w:val="nl-NL"/>
        </w:rPr>
        <w:t xml:space="preserve">        - Chức vụ: Giám đốc chi nhánh</w:t>
      </w:r>
    </w:p>
    <w:p>
      <w:pPr>
        <w:pStyle w:val="Normal"/>
        <w:spacing w:lineRule="auto" w:line="360"/>
        <w:ind w:firstLine="720" w:end="0"/>
        <w:jc w:val="both"/>
        <w:rPr/>
      </w:pPr>
      <w:r>
        <w:rPr>
          <w:i/>
          <w:iCs/>
          <w:lang w:val="nl-NL"/>
        </w:rPr>
        <w:t>(Giấy ủy quyền số 01/2023/GUQ-CENVALUE ngày 10/06/2023 của Công ty Cổ phần Thẩm định giá Thế Kỷ và Công ty Cổ phần Thẩm định giá Thế Kỷ - Chi nhánh tại thành phố Hồ Chí Minh.)</w:t>
      </w:r>
    </w:p>
    <w:p>
      <w:pPr>
        <w:pStyle w:val="Normal"/>
        <w:spacing w:lineRule="auto" w:line="360"/>
        <w:ind w:firstLine="720" w:end="0"/>
        <w:jc w:val="both"/>
        <w:rPr/>
      </w:pPr>
      <w:r>
        <w:rPr>
          <w:lang w:val="nl-NL"/>
        </w:rPr>
        <w:t>Sau khi trao đổi và thỏa thuận, hai bên thống nhất ký Hợp đồng dịch vụ thẩm định giá với những nội dung sau:</w:t>
      </w:r>
    </w:p>
    <w:p>
      <w:pPr>
        <w:pStyle w:val="Normal"/>
        <w:spacing w:lineRule="auto" w:line="360"/>
        <w:jc w:val="both"/>
        <w:rPr>
          <w:b/>
          <w:lang w:val="nl-NL"/>
        </w:rPr>
      </w:pPr>
      <w:r>
        <w:rPr>
          <w:b/>
          <w:u w:val="single"/>
          <w:lang w:val="nl-NL"/>
        </w:rPr>
        <w:t>ĐIỀU 1:</w:t>
      </w:r>
      <w:r>
        <w:rPr>
          <w:b/>
          <w:lang w:val="nl-NL"/>
        </w:rPr>
        <w:tab/>
        <w:t>ĐỐI TƯỢNG CỦA HỢP ĐỒNG</w:t>
      </w:r>
    </w:p>
    <w:p>
      <w:pPr>
        <w:pStyle w:val="Normal"/>
        <w:spacing w:lineRule="auto" w:line="360"/>
        <w:jc w:val="both"/>
        <w:rPr/>
      </w:pPr>
      <w:r>
        <w:rPr>
          <w:lang w:val="nl-NL"/>
        </w:rPr>
        <w:tab/>
        <w:t>Theo yêu cầu của Bên A, Bên B đồng ý nhận thực hiện dịch vụ thẩm định giá: Hệ thống điện năng lượng mặt trời.......</w:t>
      </w:r>
      <w:r>
        <w:rPr>
          <w:lang w:val="vi-VN"/>
        </w:rPr>
      </w:r>
      <w:r>
        <w:rPr/>
      </w:r>
      <w:r>
        <w:rPr>
          <w:lang w:val="vi-VN"/>
        </w:rPr>
      </w:r>
      <w:r>
        <w:rPr>
          <w:vertAlign w:val="superscript"/>
          <w:lang w:val="vi-VN"/>
        </w:rPr>
      </w:r>
      <w:r>
        <w:rPr>
          <w:lang w:val="vi-VN"/>
        </w:rPr>
      </w:r>
      <w:r>
        <w:rPr/>
      </w:r>
      <w:r>
        <w:rPr>
          <w:lang w:val="vi-VN"/>
        </w:rPr>
      </w:r>
      <w:r>
        <w:rPr/>
      </w:r>
      <w:r>
        <w:rPr>
          <w:lang w:val="vi-VN"/>
        </w:rPr>
      </w:r>
      <w:r>
        <w:rPr/>
      </w:r>
      <w:r>
        <w:rPr>
          <w:lang w:val="vi-VN"/>
        </w:rPr>
      </w:r>
      <w:r>
        <w:rPr/>
      </w:r>
    </w:p>
    <w:p>
      <w:pPr>
        <w:pStyle w:val="KhngDncch"/>
        <w:tabs>
          <w:tab w:val="left" w:pos="720" w:leader="none"/>
        </w:tabs>
        <w:spacing w:lineRule="auto" w:line="360"/>
        <w:jc w:val="both"/>
        <w:rPr>
          <w:rFonts w:ascii="Times New Roman" w:hAnsi="Times New Roman" w:cs="Times New Roman"/>
          <w:sz w:val="24"/>
          <w:szCs w:val="24"/>
          <w:lang w:val="nl-NL"/>
        </w:rPr>
      </w:pPr>
      <w:r>
        <w:rPr>
          <w:rFonts w:cs="Times New Roman" w:ascii="Times New Roman" w:hAnsi="Times New Roman"/>
          <w:sz w:val="24"/>
          <w:szCs w:val="24"/>
          <w:lang w:val="nl-NL"/>
        </w:rPr>
        <w:tab/>
        <w:t xml:space="preserve">Nội dung công việc: Sau khi nghiên cứu các tài liệu do Bên A cung cấp, Bên B tiến hành kiểm tra khảo sát thực địa, thẩm định giá cho tài sản nêu trên và cung cấp </w:t>
      </w:r>
      <w:r>
        <w:rPr>
          <w:rFonts w:cs="Times New Roman" w:ascii="Times New Roman" w:hAnsi="Times New Roman"/>
          <w:i/>
          <w:sz w:val="24"/>
          <w:szCs w:val="24"/>
          <w:lang w:val="nl-NL"/>
        </w:rPr>
        <w:t>“Chứng thư thẩm định giá”</w:t>
      </w:r>
      <w:r>
        <w:rPr>
          <w:rFonts w:cs="Times New Roman" w:ascii="Times New Roman" w:hAnsi="Times New Roman"/>
          <w:sz w:val="24"/>
          <w:szCs w:val="24"/>
          <w:lang w:val="nl-NL"/>
        </w:rPr>
        <w:t xml:space="preserve"> cho Bên A.</w:t>
      </w:r>
    </w:p>
    <w:p>
      <w:pPr>
        <w:pStyle w:val="oancuaDanhsach"/>
        <w:tabs>
          <w:tab w:val="clear" w:pos="720"/>
          <w:tab w:val="left" w:pos="567" w:leader="none"/>
        </w:tabs>
        <w:spacing w:lineRule="auto" w:line="360" w:before="0" w:after="0"/>
        <w:ind w:start="0" w:end="0"/>
        <w:contextualSpacing w:val="false"/>
        <w:jc w:val="both"/>
        <w:rPr>
          <w:bCs/>
          <w:color w:val="000000"/>
          <w:lang w:val="vi-VN"/>
        </w:rPr>
      </w:pPr>
      <w:r>
        <w:rPr>
          <w:b/>
          <w:u w:val="single"/>
          <w:lang w:val="nl-NL"/>
        </w:rPr>
        <w:t xml:space="preserve">ĐIỀU 2: </w:t>
        <w:tab/>
        <w:t>MỤC ĐÍCH THẨM ĐỊNH GIÁ: Làm cơ sở tham khảo để xử lý tài sản đảm bảo tại ngân hàng MB AMC - Mr. Hải - 0967243676.</w:t>
      </w:r>
      <w:r>
        <w:rPr>
          <w:lang w:val="nl-NL"/>
        </w:rPr>
      </w:r>
      <w:r>
        <w:rPr>
          <w:b/>
          <w:lang w:val="nl-NL"/>
        </w:rPr>
      </w:r>
      <w:r>
        <w:rPr>
          <w:lang w:val="nl-NL"/>
        </w:rPr>
      </w:r>
      <w:r>
        <w:rPr>
          <w:bCs/>
          <w:color w:val="000000"/>
          <w:lang w:val="nl-NL"/>
        </w:rPr>
      </w:r>
    </w:p>
    <w:p>
      <w:pPr>
        <w:pStyle w:val="Normal"/>
        <w:spacing w:lineRule="auto" w:line="360"/>
        <w:jc w:val="both"/>
        <w:rPr>
          <w:b/>
          <w:lang w:val="nl-NL"/>
        </w:rPr>
      </w:pPr>
      <w:r>
        <w:rPr>
          <w:b/>
          <w:u w:val="single"/>
          <w:lang w:val="nl-NL"/>
        </w:rPr>
        <w:t>ĐIỀU 3:</w:t>
      </w:r>
      <w:r>
        <w:rPr>
          <w:lang w:val="nl-NL"/>
        </w:rPr>
        <w:tab/>
      </w:r>
      <w:r>
        <w:rPr>
          <w:b/>
          <w:lang w:val="nl-NL"/>
        </w:rPr>
        <w:t>THỜI GIAN THỰC HIỆN</w:t>
      </w:r>
    </w:p>
    <w:p>
      <w:pPr>
        <w:pStyle w:val="Normal"/>
        <w:spacing w:lineRule="auto" w:line="360"/>
        <w:ind w:firstLine="709" w:end="0"/>
        <w:rPr>
          <w:lang w:val="nl-NL"/>
        </w:rPr>
      </w:pPr>
      <w:r>
        <w:rPr>
          <w:lang w:val="nl-NL"/>
        </w:rPr>
        <w:t xml:space="preserve">Thời hạn thực hiện công việc nêu trên là: 15 (Mười lăm) ngày làm việc kể từ ngày Bên A cung cấp đầy đủ thông tin, hồ sơ, tài liệu liên quan đến tài sản được thẩm định giá cho Bên B và bên B hoàn thành việc khảo sát thực tế. </w:t>
      </w:r>
      <w:r>
        <w:rPr>
          <w:color w:val="000000"/>
          <w:sz w:val="22"/>
          <w:szCs w:val="22"/>
          <w:lang w:val="nl-NL"/>
        </w:rPr>
        <w:t>Chứng thư thẩm định giá ban hành theo thông báo bằng văn bản của bên A</w:t>
      </w:r>
      <w:r>
        <w:rPr>
          <w:lang w:val="nl-NL"/>
        </w:rPr>
        <w:t>.</w:t>
      </w:r>
    </w:p>
    <w:p>
      <w:pPr>
        <w:pStyle w:val="Normal"/>
        <w:spacing w:lineRule="auto" w:line="360"/>
        <w:rPr>
          <w:lang w:val="nl-NL"/>
        </w:rPr>
      </w:pPr>
      <w:r>
        <w:rPr>
          <w:b/>
          <w:u w:val="single"/>
          <w:lang w:val="nl-NL"/>
        </w:rPr>
        <w:t>ĐIỀU 4:</w:t>
      </w:r>
      <w:r>
        <w:rPr>
          <w:b/>
          <w:lang w:val="nl-NL"/>
        </w:rPr>
        <w:tab/>
        <w:t>GIÁ DỊCH VỤ, HÌNH THỨC VÀ PHƯƠNG THỨC THANH TOÁN</w:t>
      </w:r>
    </w:p>
    <w:p>
      <w:pPr>
        <w:pStyle w:val="Normal"/>
        <w:spacing w:lineRule="auto" w:line="360"/>
        <w:ind w:firstLine="720" w:end="0"/>
        <w:jc w:val="both"/>
        <w:rPr>
          <w:b/>
          <w:i/>
          <w:lang w:val="nl-NL"/>
        </w:rPr>
      </w:pPr>
      <w:r>
        <w:rPr>
          <w:b/>
          <w:i/>
          <w:lang w:val="nl-NL"/>
        </w:rPr>
        <w:t>4.1- Tổng giá dịch vụ (đã bao gồm thuế VAT): 5.500.000 VNĐ</w:t>
      </w:r>
      <w:r>
        <w:rPr>
          <w:b/>
          <w:i/>
        </w:rPr>
      </w:r>
      <w:r>
        <w:rPr>
          <w:b/>
          <w:i/>
          <w:lang w:val="vi-VN"/>
        </w:rPr>
      </w:r>
      <w:r>
        <w:rPr>
          <w:b/>
          <w:i/>
        </w:rPr>
      </w:r>
      <w:r>
        <w:rPr>
          <w:b/>
          <w:i/>
          <w:lang w:val="vi-VN"/>
        </w:rPr>
      </w:r>
      <w:r>
        <w:rPr>
          <w:b/>
          <w:i/>
          <w:lang w:val="nl-NL"/>
        </w:rPr>
      </w:r>
    </w:p>
    <w:p>
      <w:pPr>
        <w:pStyle w:val="Normal"/>
        <w:spacing w:lineRule="auto" w:line="360"/>
        <w:ind w:firstLine="720" w:end="0"/>
        <w:jc w:val="both"/>
        <w:rPr>
          <w:bCs/>
          <w:i/>
        </w:rPr>
      </w:pPr>
      <w:r>
        <w:rPr>
          <w:bCs/>
          <w:i/>
          <w:lang w:val="nl-NL"/>
        </w:rPr>
        <w:t>Bằng chữ: Sáu</w:t>
      </w:r>
      <w:r>
        <w:rPr>
          <w:bCs/>
          <w:i/>
        </w:rPr>
        <w:t xml:space="preserve"> triệu năm trăm nghìn đồng.</w:t>
      </w:r>
    </w:p>
    <w:p>
      <w:pPr>
        <w:pStyle w:val="Normal"/>
        <w:spacing w:lineRule="auto" w:line="360"/>
        <w:ind w:firstLine="720" w:end="0"/>
        <w:jc w:val="both"/>
        <w:rPr>
          <w:lang w:val="nl-NL"/>
        </w:rPr>
      </w:pPr>
      <w:r>
        <w:rPr>
          <w:b/>
          <w:i/>
          <w:lang w:val="nl-NL"/>
        </w:rPr>
        <w:t>4.2-</w:t>
      </w:r>
      <w:r>
        <w:rPr>
          <w:lang w:val="nl-NL"/>
        </w:rPr>
        <w:t xml:space="preserve"> </w:t>
      </w:r>
      <w:r>
        <w:rPr>
          <w:b/>
          <w:i/>
          <w:lang w:val="nl-NL"/>
        </w:rPr>
        <w:t>Hình thức thanh toán:</w:t>
      </w:r>
      <w:r>
        <w:rPr>
          <w:lang w:val="nl-NL"/>
        </w:rPr>
        <w:t xml:space="preserve"> Thanh toán bằng tiền mặt hoặc chuyển khoản.</w:t>
      </w:r>
    </w:p>
    <w:p>
      <w:pPr>
        <w:pStyle w:val="Normal"/>
        <w:spacing w:lineRule="auto" w:line="360"/>
        <w:ind w:firstLine="720" w:end="0"/>
        <w:jc w:val="both"/>
        <w:rPr/>
      </w:pPr>
      <w:r>
        <w:rPr/>
        <w:t>Tên người thụ hưởng:</w:t>
      </w:r>
      <w:r>
        <w:rPr>
          <w:b/>
        </w:rPr>
        <w:t xml:space="preserve"> </w:t>
      </w:r>
      <w:r>
        <w:rPr/>
        <w:t>CÔNG TY CỔ PHẦN THẨM ĐỊNH GIÁ THẾ KỶ - CHI NHÁNH TẠI THÀNH PHỐ HỒ CHÍ MINH</w:t>
      </w:r>
    </w:p>
    <w:p>
      <w:pPr>
        <w:pStyle w:val="Normal"/>
        <w:spacing w:lineRule="auto" w:line="360"/>
        <w:ind w:firstLine="720" w:end="0"/>
        <w:jc w:val="both"/>
        <w:rPr/>
      </w:pPr>
      <w:r>
        <w:rPr/>
        <w:t xml:space="preserve"> </w:t>
      </w:r>
      <w:r>
        <w:rPr/>
        <w:t>Số tài khoản: 0531002471549 mở tại ngân hàng: Ngân hàng Thương mại Cổ phần Ngoại thương Việt Nam – Chi nhánh Đông Sài Gòn.</w:t>
      </w:r>
    </w:p>
    <w:p>
      <w:pPr>
        <w:pStyle w:val="Normal"/>
        <w:spacing w:lineRule="auto" w:line="360"/>
        <w:ind w:firstLine="720" w:end="0"/>
        <w:jc w:val="both"/>
        <w:rPr>
          <w:lang w:val="nl-NL"/>
        </w:rPr>
      </w:pPr>
      <w:r>
        <w:rPr>
          <w:b/>
          <w:i/>
          <w:lang w:val="nl-NL"/>
        </w:rPr>
        <w:t>4.3- Phương thức thanh toán:</w:t>
      </w:r>
      <w:r>
        <w:rPr>
          <w:lang w:val="nl-NL"/>
        </w:rPr>
        <w:t xml:space="preserve">  </w:t>
      </w:r>
    </w:p>
    <w:p>
      <w:pPr>
        <w:pStyle w:val="Normal"/>
        <w:tabs>
          <w:tab w:val="clear" w:pos="720"/>
          <w:tab w:val="left" w:pos="993" w:leader="none"/>
        </w:tabs>
        <w:spacing w:lineRule="auto" w:line="360"/>
        <w:jc w:val="both"/>
        <w:rPr/>
      </w:pPr>
      <w:r>
        <w:rPr/>
        <w:t xml:space="preserve">          Bên A thanh toán cho Bên B 100% giá trị dịch vụ thẩm định giá tương đương 5.500.000 VNĐ (Bằng chữ: Sáu triệu năm trăm nghìn đồng) sau khi phát hành chứng thư, xuất hóa đơn GTGT tổng giá trị hợp đồng (hoặc phụ lục hợp đồng) và các tài liệu liên quan khác (nếu có) cho Bên A.</w:t>
      </w:r>
      <w:r>
        <w:rPr>
          <w:lang w:val="fr-FR"/>
        </w:rPr>
      </w:r>
      <w:r>
        <w:rPr>
          <w:b/>
          <w:iCs/>
        </w:rPr>
      </w:r>
      <w:r>
        <w:rPr>
          <w:b/>
          <w:i/>
          <w:lang w:val="nl-NL"/>
        </w:rPr>
      </w:r>
      <w:r>
        <w:rPr>
          <w:b/>
          <w:lang w:val="fr-FR"/>
        </w:rPr>
      </w:r>
      <w:r>
        <w:rPr>
          <w:b/>
          <w:i/>
          <w:lang w:val="fr-FR"/>
        </w:rPr>
      </w:r>
      <w:r>
        <w:rPr>
          <w:lang w:val="fr-FR"/>
        </w:rPr>
      </w:r>
    </w:p>
    <w:p>
      <w:pPr>
        <w:pStyle w:val="Normal"/>
        <w:spacing w:lineRule="auto" w:line="360"/>
        <w:ind w:firstLine="720" w:end="0"/>
        <w:jc w:val="both"/>
        <w:rPr/>
      </w:pPr>
      <w:r>
        <w:rPr>
          <w:b/>
          <w:i/>
          <w:lang w:val="nl-NL"/>
        </w:rPr>
        <w:t>4.4- Thông tin nhận bàn giao hoàn thành dịch vụ:</w:t>
      </w:r>
      <w:r>
        <w:rPr>
          <w:lang w:val="nl-NL"/>
        </w:rPr>
        <w:t xml:space="preserve">  </w:t>
      </w:r>
    </w:p>
    <w:p>
      <w:pPr>
        <w:pStyle w:val="Normal"/>
        <w:spacing w:lineRule="auto" w:line="324"/>
        <w:ind w:firstLine="720" w:end="0"/>
        <w:jc w:val="both"/>
        <w:rPr/>
      </w:pPr>
      <w:r>
        <w:rPr>
          <w:lang w:val="fr-FR"/>
        </w:rPr>
        <w:t>Bàn giao cho Bên A bằng hình thức gửi chuyển phát nhanh hoặc bàn giao trực tiếp cho Bên A theo thông tin sau đây:</w:t>
      </w:r>
    </w:p>
    <w:p>
      <w:pPr>
        <w:pStyle w:val="Normal"/>
        <w:spacing w:lineRule="auto" w:line="324"/>
        <w:ind w:firstLine="720" w:end="0"/>
        <w:jc w:val="both"/>
        <w:rPr>
          <w:lang w:val="fr-FR"/>
        </w:rPr>
      </w:pPr>
      <w:r>
        <w:rPr>
          <w:lang w:val="fr-FR"/>
        </w:rPr>
        <w:t xml:space="preserve">-    Họ tên:  </w:t>
      </w:r>
    </w:p>
    <w:p>
      <w:pPr>
        <w:pStyle w:val="Normal"/>
        <w:spacing w:lineRule="auto" w:line="324"/>
        <w:ind w:firstLine="720" w:end="0"/>
        <w:jc w:val="both"/>
        <w:rPr>
          <w:lang w:val="fr-FR"/>
        </w:rPr>
      </w:pPr>
      <w:r>
        <w:rPr>
          <w:lang w:val="fr-FR"/>
        </w:rPr>
        <w:t xml:space="preserve">-    Chức vụ: </w:t>
      </w:r>
    </w:p>
    <w:p>
      <w:pPr>
        <w:pStyle w:val="Normal"/>
        <w:spacing w:lineRule="auto" w:line="324"/>
        <w:ind w:firstLine="720" w:end="0"/>
        <w:jc w:val="both"/>
        <w:rPr>
          <w:lang w:val="fr-FR"/>
        </w:rPr>
      </w:pPr>
      <w:r>
        <w:rPr>
          <w:lang w:val="fr-FR"/>
        </w:rPr>
        <w:t>-    Địa chỉ:  xã Ea Tul, tỉnh Đắk Lắk</w:t>
      </w:r>
      <w:r>
        <w:rPr>
          <w:lang w:val="vi-VN"/>
        </w:rPr>
      </w:r>
    </w:p>
    <w:p>
      <w:pPr>
        <w:pStyle w:val="Normal"/>
        <w:spacing w:lineRule="auto" w:line="324"/>
        <w:ind w:firstLine="720" w:end="0"/>
        <w:jc w:val="both"/>
        <w:rPr>
          <w:lang w:val="fr-FR"/>
        </w:rPr>
      </w:pPr>
      <w:r>
        <w:rPr>
          <w:lang w:val="fr-FR"/>
        </w:rPr>
        <w:t xml:space="preserve">-    Điện thoại:     </w:t>
      </w:r>
    </w:p>
    <w:p>
      <w:pPr>
        <w:pStyle w:val="Normal"/>
        <w:spacing w:lineRule="auto" w:line="324"/>
        <w:ind w:firstLine="720" w:end="0"/>
        <w:jc w:val="both"/>
        <w:rPr>
          <w:lang w:val="fr-FR"/>
        </w:rPr>
      </w:pPr>
      <w:r>
        <w:rPr>
          <w:lang w:val="fr-FR"/>
        </w:rPr>
        <w:t xml:space="preserve">Bên B có trách nhiệm lập Biên bản nghiệm thu hoàn thành dịch vụ và chuyển cho Bên A tại thời điểm các Bên tiến hành bàn giao Kết quả thẩm định giá. </w:t>
      </w:r>
    </w:p>
    <w:p>
      <w:pPr>
        <w:pStyle w:val="Normal"/>
        <w:spacing w:lineRule="auto" w:line="360"/>
        <w:ind w:start="720" w:end="0"/>
        <w:jc w:val="both"/>
        <w:rPr/>
      </w:pPr>
      <w:r>
        <w:rPr>
          <w:b/>
          <w:u w:val="single"/>
          <w:lang w:val="nl-NL"/>
        </w:rPr>
        <w:t>ĐIỀU 5:</w:t>
      </w:r>
      <w:r>
        <w:rPr>
          <w:b/>
          <w:lang w:val="nl-NL"/>
        </w:rPr>
        <w:tab/>
        <w:t>QUYỀN VÀ NGHĨA VỤ CỦA HAI BÊN</w:t>
      </w:r>
    </w:p>
    <w:p>
      <w:pPr>
        <w:pStyle w:val="Normal"/>
        <w:spacing w:lineRule="auto" w:line="360"/>
        <w:ind w:firstLine="720" w:end="0"/>
        <w:jc w:val="both"/>
        <w:rPr/>
      </w:pPr>
      <w:r>
        <w:rPr>
          <w:b/>
          <w:i/>
          <w:lang w:val="nl-NL"/>
        </w:rPr>
        <w:t>5.1- Quyền và nghĩa vụ của Bên A:</w:t>
      </w:r>
    </w:p>
    <w:p>
      <w:pPr>
        <w:pStyle w:val="Normal"/>
        <w:numPr>
          <w:ilvl w:val="0"/>
          <w:numId w:val="2"/>
        </w:numPr>
        <w:tabs>
          <w:tab w:val="clear" w:pos="720"/>
          <w:tab w:val="left" w:pos="709" w:leader="none"/>
        </w:tabs>
        <w:spacing w:lineRule="auto" w:line="360"/>
        <w:ind w:firstLine="426" w:start="0" w:end="0"/>
        <w:jc w:val="both"/>
        <w:rPr>
          <w:lang w:val="nl-NL"/>
        </w:rPr>
      </w:pPr>
      <w:r>
        <w:rPr>
          <w:lang w:val="nl-NL"/>
        </w:rPr>
        <w:t>Nhận 02 (hai) bản chính Chứng thư và Báo cáo thẩm định giá tài sản. Nếu Bên A có nhu cầu đươc cấp thêm bản Chứng thư và Báo cáo vui lòng liên hệ trước cho Bên B để được hướng dẫn.</w:t>
      </w:r>
    </w:p>
    <w:p>
      <w:pPr>
        <w:pStyle w:val="Normal"/>
        <w:numPr>
          <w:ilvl w:val="0"/>
          <w:numId w:val="2"/>
        </w:numPr>
        <w:tabs>
          <w:tab w:val="clear" w:pos="720"/>
          <w:tab w:val="left" w:pos="709" w:leader="none"/>
        </w:tabs>
        <w:spacing w:lineRule="auto" w:line="360"/>
        <w:ind w:firstLine="426" w:start="0" w:end="0"/>
        <w:jc w:val="both"/>
        <w:rPr>
          <w:lang w:val="nl-NL"/>
        </w:rPr>
      </w:pPr>
      <w:r>
        <w:rPr>
          <w:lang w:val="nl-NL"/>
        </w:rPr>
        <w:t>Cung cấp cho Bên B đầy đủ những thông tin, hồ sơ, tài liệu cần thiết liên quan đến tài sản cần thẩm định giá.</w:t>
      </w:r>
    </w:p>
    <w:p>
      <w:pPr>
        <w:pStyle w:val="Normal"/>
        <w:numPr>
          <w:ilvl w:val="0"/>
          <w:numId w:val="2"/>
        </w:numPr>
        <w:tabs>
          <w:tab w:val="clear" w:pos="720"/>
          <w:tab w:val="left" w:pos="709" w:leader="none"/>
        </w:tabs>
        <w:spacing w:lineRule="auto" w:line="360"/>
        <w:ind w:firstLine="426" w:start="0" w:end="0"/>
        <w:jc w:val="both"/>
        <w:rPr>
          <w:lang w:val="nl-NL"/>
        </w:rPr>
      </w:pPr>
      <w:r>
        <w:rPr>
          <w:lang w:val="nl-NL"/>
        </w:rPr>
        <w:t>Đảm bảo tính chính xác của những thông tin đã cung cấp cho Bên B và tự chịu trách nhiệm pháp lý về tính hợp pháp của những thông tin đó.</w:t>
      </w:r>
    </w:p>
    <w:p>
      <w:pPr>
        <w:pStyle w:val="Normal"/>
        <w:numPr>
          <w:ilvl w:val="0"/>
          <w:numId w:val="2"/>
        </w:numPr>
        <w:tabs>
          <w:tab w:val="clear" w:pos="720"/>
          <w:tab w:val="left" w:pos="709" w:leader="none"/>
        </w:tabs>
        <w:spacing w:lineRule="auto" w:line="360"/>
        <w:ind w:firstLine="426" w:start="0" w:end="0"/>
        <w:jc w:val="both"/>
        <w:rPr>
          <w:lang w:val="nl-NL"/>
        </w:rPr>
      </w:pPr>
      <w:r>
        <w:rPr>
          <w:lang w:val="nl-NL"/>
        </w:rPr>
        <w:t>Bên A hoặc người đại diện của Bên A được phân công tạo mọi điều kiện thuận lợi cho Bên B khi tiến hành kiểm tra, khảo sát tài sản thẩm định giá.</w:t>
      </w:r>
    </w:p>
    <w:p>
      <w:pPr>
        <w:pStyle w:val="Normal"/>
        <w:numPr>
          <w:ilvl w:val="0"/>
          <w:numId w:val="2"/>
        </w:numPr>
        <w:tabs>
          <w:tab w:val="clear" w:pos="720"/>
          <w:tab w:val="left" w:pos="709" w:leader="none"/>
        </w:tabs>
        <w:spacing w:lineRule="auto" w:line="360"/>
        <w:ind w:firstLine="426" w:start="0" w:end="0"/>
        <w:jc w:val="both"/>
        <w:rPr>
          <w:lang w:val="nl-NL"/>
        </w:rPr>
      </w:pPr>
      <w:r>
        <w:rPr>
          <w:lang w:val="nl-NL"/>
        </w:rPr>
        <w:t>Bên A hoặc người đại diện của Bên A được phân công phải đảm bảo tính chính xác khi hướng dẫn kiểm tra, khảo sát vị trí tài sản thẩm định giá đúng với giấy chứng nhận hợp pháp của tài sản. Trường hợp việc hướng dẫn sai vị trí tài sản thẩm định làm ảnh hưởng sai lệch kết quả thẩm định giá, Bên A hoặc người đại diện của Bên A sẽ chịu hoàn toàn trách nhiệm với các bên có liên quan khi sử dụng kết quả thẩm định giá với mục đích được nêu tại điều 2 hợp đồng này.</w:t>
      </w:r>
    </w:p>
    <w:p>
      <w:pPr>
        <w:pStyle w:val="Normal"/>
        <w:numPr>
          <w:ilvl w:val="0"/>
          <w:numId w:val="2"/>
        </w:numPr>
        <w:tabs>
          <w:tab w:val="clear" w:pos="720"/>
          <w:tab w:val="left" w:pos="709" w:leader="none"/>
        </w:tabs>
        <w:spacing w:lineRule="auto" w:line="360"/>
        <w:ind w:firstLine="426" w:start="0" w:end="0"/>
        <w:jc w:val="both"/>
        <w:rPr>
          <w:lang w:val="nl-NL"/>
        </w:rPr>
      </w:pPr>
      <w:r>
        <w:rPr>
          <w:lang w:val="nl-NL"/>
        </w:rPr>
        <w:t>Thanh toán phí thẩm định cho Bên B đầy đủ và đúng thời hạn như Điều 4.</w:t>
      </w:r>
    </w:p>
    <w:p>
      <w:pPr>
        <w:pStyle w:val="Normal"/>
        <w:numPr>
          <w:ilvl w:val="0"/>
          <w:numId w:val="2"/>
        </w:numPr>
        <w:tabs>
          <w:tab w:val="clear" w:pos="720"/>
          <w:tab w:val="left" w:pos="709" w:leader="none"/>
        </w:tabs>
        <w:spacing w:lineRule="auto" w:line="360"/>
        <w:ind w:firstLine="426" w:start="0" w:end="0"/>
        <w:jc w:val="both"/>
        <w:rPr>
          <w:lang w:val="nl-NL"/>
        </w:rPr>
      </w:pPr>
      <w:r>
        <w:rPr>
          <w:lang w:val="nl-NL"/>
        </w:rPr>
        <w:t>Sử dụng kết quả thẩm định giá đúng mục đích ghi trong Hợp đồng và Chứng thư thẩm định giá.</w:t>
      </w:r>
    </w:p>
    <w:p>
      <w:pPr>
        <w:pStyle w:val="Normal"/>
        <w:spacing w:lineRule="auto" w:line="360"/>
        <w:ind w:firstLine="720" w:end="0"/>
        <w:jc w:val="both"/>
        <w:rPr/>
      </w:pPr>
      <w:r>
        <w:rPr>
          <w:b/>
          <w:i/>
          <w:lang w:val="nl-NL"/>
        </w:rPr>
        <w:t>5.2- Quyền và nghĩa vụ của Bên B:</w:t>
      </w:r>
    </w:p>
    <w:p>
      <w:pPr>
        <w:pStyle w:val="Normal"/>
        <w:numPr>
          <w:ilvl w:val="0"/>
          <w:numId w:val="2"/>
        </w:numPr>
        <w:tabs>
          <w:tab w:val="clear" w:pos="720"/>
        </w:tabs>
        <w:spacing w:lineRule="auto" w:line="360"/>
        <w:ind w:firstLine="426" w:start="0" w:end="0"/>
        <w:jc w:val="both"/>
        <w:rPr>
          <w:lang w:val="nl-NL"/>
        </w:rPr>
      </w:pPr>
      <w:r>
        <w:rPr>
          <w:lang w:val="nl-NL"/>
        </w:rPr>
        <w:t>Hoàn thành công việc theo quy định tại Điều 1 và Điều 3.</w:t>
      </w:r>
    </w:p>
    <w:p>
      <w:pPr>
        <w:pStyle w:val="Normal"/>
        <w:numPr>
          <w:ilvl w:val="0"/>
          <w:numId w:val="2"/>
        </w:numPr>
        <w:tabs>
          <w:tab w:val="clear" w:pos="720"/>
        </w:tabs>
        <w:spacing w:lineRule="auto" w:line="360"/>
        <w:ind w:firstLine="426" w:start="0" w:end="0"/>
        <w:jc w:val="both"/>
        <w:rPr>
          <w:lang w:val="nl-NL"/>
        </w:rPr>
      </w:pPr>
      <w:r>
        <w:rPr>
          <w:lang w:val="nl-NL"/>
        </w:rPr>
        <w:t>Cung cấp 02 (hai) bản chính Chứng thư và Báo cáo thẩm định giá tài sản cho Bên A.</w:t>
      </w:r>
    </w:p>
    <w:p>
      <w:pPr>
        <w:pStyle w:val="Normal"/>
        <w:numPr>
          <w:ilvl w:val="0"/>
          <w:numId w:val="2"/>
        </w:numPr>
        <w:tabs>
          <w:tab w:val="clear" w:pos="720"/>
        </w:tabs>
        <w:spacing w:lineRule="auto" w:line="360"/>
        <w:ind w:firstLine="426" w:start="0" w:end="0"/>
        <w:jc w:val="both"/>
        <w:rPr>
          <w:lang w:val="nl-NL"/>
        </w:rPr>
      </w:pPr>
      <w:r>
        <w:rPr>
          <w:lang w:val="nl-NL"/>
        </w:rPr>
        <w:t>Được thanh toán phí theo quy định tại Điều 4.</w:t>
      </w:r>
    </w:p>
    <w:p>
      <w:pPr>
        <w:pStyle w:val="Normal"/>
        <w:numPr>
          <w:ilvl w:val="0"/>
          <w:numId w:val="2"/>
        </w:numPr>
        <w:tabs>
          <w:tab w:val="clear" w:pos="720"/>
        </w:tabs>
        <w:spacing w:lineRule="auto" w:line="360"/>
        <w:ind w:firstLine="426" w:start="0" w:end="0"/>
        <w:jc w:val="both"/>
        <w:rPr>
          <w:lang w:val="nl-NL"/>
        </w:rPr>
      </w:pPr>
      <w:r>
        <w:rPr>
          <w:lang w:val="nl-NL"/>
        </w:rPr>
        <w:t xml:space="preserve">Trong trường hợp Bên A không thanh toán và/hoặc thanh toán không đầy đủ phí thẩm định được quy định tại Điều 4 của Hợp đồng này, Bên A phải chịu phạt do vi phạm hợp đồng là 08%/giá trị hợp đồng và tiền lãi suất tương ứng với số ngày chậm trả theo tỷ lệ lãi suất của Ngân hàng nhà nước Việt Nam. </w:t>
      </w:r>
    </w:p>
    <w:p>
      <w:pPr>
        <w:pStyle w:val="Normal"/>
        <w:numPr>
          <w:ilvl w:val="0"/>
          <w:numId w:val="2"/>
        </w:numPr>
        <w:tabs>
          <w:tab w:val="clear" w:pos="720"/>
        </w:tabs>
        <w:spacing w:lineRule="auto" w:line="360"/>
        <w:ind w:firstLine="426" w:start="0" w:end="0"/>
        <w:jc w:val="both"/>
        <w:rPr>
          <w:lang w:val="nl-NL"/>
        </w:rPr>
      </w:pPr>
      <w:r>
        <w:rPr>
          <w:lang w:val="nl-NL"/>
        </w:rPr>
        <w:t xml:space="preserve">Trong vòng 30 (ba mươi) ngày làm việc kể từ ngày kết thúc việc thanh toán của Bên A, Bên A có trách nhiệm hoàn trả đầy đủ tiền phí dịch vụ, phí phạt hợp đồng và lãi suất tương ứng. Nếu Bên A không thanh toán, Bên B sẽ gửi đơn đến cơ quan pháp luật để giải quyết. Khi đó mọi chi phí cho giải quyết vụ việc sẽ do Bên A chi trả. </w:t>
      </w:r>
    </w:p>
    <w:p>
      <w:pPr>
        <w:pStyle w:val="Normal"/>
        <w:numPr>
          <w:ilvl w:val="0"/>
          <w:numId w:val="2"/>
        </w:numPr>
        <w:tabs>
          <w:tab w:val="clear" w:pos="720"/>
        </w:tabs>
        <w:spacing w:lineRule="auto" w:line="360"/>
        <w:ind w:firstLine="426" w:start="0" w:end="0"/>
        <w:jc w:val="both"/>
        <w:rPr>
          <w:lang w:val="nl-NL"/>
        </w:rPr>
      </w:pPr>
      <w:r>
        <w:rPr>
          <w:lang w:val="nl-NL"/>
        </w:rPr>
        <w:t>Trong trường hợp Bên A không hoàn tất việc thanh toán đầy đủ phí thẩm định được quy định tại Điều 4 trong vòng 90 (Chín mươi) ngày kể từ ngày Bên B đã bàn giao kết quả dưới hình thức văn bản (Thông báo giá / Chứng thư / Báo cáo) thì toàn bộ văn bản Bên B đã cung cấp sẽ mặc nhiên vô hiệu, không có giá trị pháp lý và Bên B không phải chịu trách nhiệm những văn bản đã nêu với bất cứ hình thức nào.</w:t>
      </w:r>
    </w:p>
    <w:p>
      <w:pPr>
        <w:pStyle w:val="Normal"/>
        <w:numPr>
          <w:ilvl w:val="0"/>
          <w:numId w:val="2"/>
        </w:numPr>
        <w:tabs>
          <w:tab w:val="clear" w:pos="720"/>
        </w:tabs>
        <w:spacing w:lineRule="auto" w:line="360"/>
        <w:ind w:firstLine="426" w:start="0" w:end="0"/>
        <w:jc w:val="both"/>
        <w:rPr>
          <w:lang w:val="nl-NL"/>
        </w:rPr>
      </w:pPr>
      <w:r>
        <w:rPr>
          <w:lang w:val="nl-NL"/>
        </w:rPr>
        <w:t>Trong trường hợp Bên A đơn phương chấm dứt hợp đồng trước thời hạn vì bất cứ lý do gì, Bên B sẽ không có trách nhiệm hoàn trả các khoản tạm ứng để bù đắp các chi phí thẩm định đã phát sinh.</w:t>
      </w:r>
    </w:p>
    <w:p>
      <w:pPr>
        <w:pStyle w:val="Normal"/>
        <w:tabs>
          <w:tab w:val="clear" w:pos="720"/>
          <w:tab w:val="left" w:pos="851" w:leader="none"/>
          <w:tab w:val="left" w:pos="9788" w:leader="dot"/>
        </w:tabs>
        <w:spacing w:lineRule="auto" w:line="360"/>
        <w:jc w:val="both"/>
        <w:rPr>
          <w:b/>
          <w:bCs/>
          <w:color w:val="000000"/>
          <w:lang w:val="nl-NL"/>
        </w:rPr>
      </w:pPr>
      <w:r>
        <w:rPr>
          <w:b/>
          <w:bCs/>
          <w:color w:val="000000"/>
          <w:u w:val="single"/>
          <w:lang w:val="vi-VN"/>
        </w:rPr>
        <w:t xml:space="preserve">ĐIỀU </w:t>
      </w:r>
      <w:r>
        <w:rPr>
          <w:b/>
          <w:bCs/>
          <w:color w:val="000000"/>
          <w:u w:val="single"/>
          <w:lang w:val="nl-NL"/>
        </w:rPr>
        <w:t>6</w:t>
      </w:r>
      <w:r>
        <w:rPr>
          <w:b/>
          <w:bCs/>
          <w:color w:val="000000"/>
          <w:lang w:val="vi-VN"/>
        </w:rPr>
        <w:t xml:space="preserve">: ĐIỀU KHOẢN BẢO MẬT </w:t>
      </w:r>
    </w:p>
    <w:p>
      <w:pPr>
        <w:pStyle w:val="Normal"/>
        <w:numPr>
          <w:ilvl w:val="0"/>
          <w:numId w:val="2"/>
        </w:numPr>
        <w:tabs>
          <w:tab w:val="clear" w:pos="720"/>
          <w:tab w:val="left" w:pos="284" w:leader="none"/>
        </w:tabs>
        <w:spacing w:lineRule="auto" w:line="360"/>
        <w:ind w:firstLine="426" w:start="0" w:end="0"/>
        <w:jc w:val="both"/>
        <w:rPr>
          <w:lang w:val="nl-NL"/>
        </w:rPr>
      </w:pPr>
      <w:r>
        <w:rPr>
          <w:lang w:val="nl-NL"/>
        </w:rPr>
        <w:t>Thông tin mật là: tất cả các thông tin do Bên A trực tiếp hoặc gián tiếp cung cấp cho Bên B dưới dạng văn bản, lời nói, fax, hay dữ liệu điện tử.</w:t>
      </w:r>
    </w:p>
    <w:p>
      <w:pPr>
        <w:pStyle w:val="Normal"/>
        <w:numPr>
          <w:ilvl w:val="0"/>
          <w:numId w:val="2"/>
        </w:numPr>
        <w:tabs>
          <w:tab w:val="clear" w:pos="720"/>
          <w:tab w:val="left" w:pos="284" w:leader="none"/>
        </w:tabs>
        <w:spacing w:lineRule="auto" w:line="360"/>
        <w:ind w:firstLine="426" w:start="0" w:end="0"/>
        <w:jc w:val="both"/>
        <w:rPr>
          <w:lang w:val="nl-NL"/>
        </w:rPr>
      </w:pPr>
      <w:r>
        <w:rPr>
          <w:lang w:val="nl-NL"/>
        </w:rPr>
        <w:t xml:space="preserve">Bên B có trách nhiệm bảo vệ, không được sử dụng mọi thông tin, tài liệu được Bên A cung cấp/xuất trình ngoài mục đích để cung cấp dịch vụ cho Bên A. </w:t>
      </w:r>
    </w:p>
    <w:p>
      <w:pPr>
        <w:pStyle w:val="Normal"/>
        <w:numPr>
          <w:ilvl w:val="0"/>
          <w:numId w:val="2"/>
        </w:numPr>
        <w:tabs>
          <w:tab w:val="clear" w:pos="720"/>
          <w:tab w:val="left" w:pos="284" w:leader="none"/>
        </w:tabs>
        <w:spacing w:lineRule="auto" w:line="360"/>
        <w:ind w:firstLine="426" w:start="0" w:end="0"/>
        <w:jc w:val="both"/>
        <w:rPr>
          <w:lang w:val="nl-NL"/>
        </w:rPr>
      </w:pPr>
      <w:r>
        <w:rPr>
          <w:lang w:val="nl-NL"/>
        </w:rPr>
        <w:t xml:space="preserve">Bên B và nhân viên thuộc Bên B có trách nhiệm bảo mật tất cả các thông tin về Bên A mà Bên B có được trong quá trình thực hiện Hợp đồng này trừ trường hợp được sự đồng ý bằng văn bản của Bên A hoặc yêu cầu của quy định pháp luật; </w:t>
      </w:r>
    </w:p>
    <w:p>
      <w:pPr>
        <w:pStyle w:val="Normal"/>
        <w:numPr>
          <w:ilvl w:val="0"/>
          <w:numId w:val="2"/>
        </w:numPr>
        <w:tabs>
          <w:tab w:val="clear" w:pos="720"/>
          <w:tab w:val="left" w:pos="284" w:leader="none"/>
        </w:tabs>
        <w:spacing w:lineRule="auto" w:line="360"/>
        <w:ind w:firstLine="426" w:start="0" w:end="0"/>
        <w:jc w:val="both"/>
        <w:rPr>
          <w:lang w:val="nl-NL"/>
        </w:rPr>
      </w:pPr>
      <w:r>
        <w:rPr>
          <w:lang w:val="nl-NL"/>
        </w:rPr>
        <w:t>Bên B không được sử dụng bất kỳ thông tin nào để xâm phạm quyền, lợi ích hợp pháp của Bên A.</w:t>
      </w:r>
    </w:p>
    <w:p>
      <w:pPr>
        <w:pStyle w:val="Normal"/>
        <w:spacing w:lineRule="auto" w:line="360"/>
        <w:jc w:val="both"/>
        <w:rPr/>
      </w:pPr>
      <w:r>
        <w:rPr>
          <w:b/>
          <w:u w:val="single"/>
        </w:rPr>
        <w:t>ĐIỀU 7:</w:t>
      </w:r>
      <w:r>
        <w:rPr>
          <w:b/>
        </w:rPr>
        <w:t xml:space="preserve"> ĐIỀU KHOẢN CHUNG</w:t>
      </w:r>
    </w:p>
    <w:p>
      <w:pPr>
        <w:pStyle w:val="Normal"/>
        <w:numPr>
          <w:ilvl w:val="0"/>
          <w:numId w:val="2"/>
        </w:numPr>
        <w:tabs>
          <w:tab w:val="clear" w:pos="720"/>
          <w:tab w:val="left" w:pos="630" w:leader="none"/>
          <w:tab w:val="left" w:pos="900" w:leader="none"/>
        </w:tabs>
        <w:spacing w:lineRule="auto" w:line="360"/>
        <w:ind w:firstLine="426" w:start="0" w:end="0"/>
        <w:jc w:val="both"/>
        <w:rPr>
          <w:lang w:val="nl-NL"/>
        </w:rPr>
      </w:pPr>
      <w:r>
        <w:rPr>
          <w:lang w:val="nl-NL"/>
        </w:rPr>
        <w:t>Hai Bên cam kết thực hiện đầy đủ các điều khoản đã ghi trong hợp đồng. Trong quá trình thực hiện nếu có khó khăn vướng mắc phát sinh hai Bên cùng nhau thương lượng giải quyết trên tinh thần hợp tác cùng có lợi. Trường hợp hai Bên không tự giải quyết được thì thống nhất chuyển vụ việc đến Trọng tài Kinh tế thuộc Trung tâm Trọng tài Kinh tế Quốc tế Việt Nam (VIAC) tại Tp. Hồ Chí Minh để giải quyết. Khi đó mọi chi phí giải quyết vụ việc sẽ do bên thua chịu trách nhiệm chi trả.</w:t>
      </w:r>
      <w:r>
        <w:rPr/>
        <w:t xml:space="preserve"> </w:t>
      </w:r>
    </w:p>
    <w:p>
      <w:pPr>
        <w:pStyle w:val="Normal"/>
        <w:numPr>
          <w:ilvl w:val="0"/>
          <w:numId w:val="2"/>
        </w:numPr>
        <w:tabs>
          <w:tab w:val="clear" w:pos="720"/>
          <w:tab w:val="left" w:pos="630" w:leader="none"/>
          <w:tab w:val="left" w:pos="900" w:leader="none"/>
        </w:tabs>
        <w:spacing w:lineRule="auto" w:line="360"/>
        <w:ind w:firstLine="426" w:start="0" w:end="0"/>
        <w:jc w:val="both"/>
        <w:rPr>
          <w:lang w:val="nl-NL"/>
        </w:rPr>
      </w:pPr>
      <w:r>
        <w:rPr>
          <w:lang w:val="nl-NL"/>
        </w:rPr>
        <w:t>Hợp đồng này có hiệu lực kể từ ngày hai Bên cùng ký và mặc nhiên được thanh lý khi các Bên hoàn thành nghĩa vụ từ Điều 1 đến Điều 5.</w:t>
      </w:r>
    </w:p>
    <w:p>
      <w:pPr>
        <w:pStyle w:val="Normal"/>
        <w:spacing w:lineRule="auto" w:line="360"/>
        <w:ind w:firstLine="426" w:end="0"/>
        <w:jc w:val="both"/>
        <w:rPr/>
      </w:pPr>
      <w:r>
        <w:rPr>
          <w:lang w:val="nl-NL"/>
        </w:rPr>
        <w:t>Hợp đồng này được lập thành 04 (bốn) bản có giá trị pháp lý như nhau. Mỗi Bên giữ 02 (hai) bản để thực hiện</w:t>
      </w:r>
      <w:r>
        <w:rPr/>
        <w:t xml:space="preserve">. </w:t>
      </w:r>
    </w:p>
    <w:tbl>
      <w:tblPr>
        <w:tblW w:w="9521" w:type="dxa"/>
        <w:jc w:val="start"/>
        <w:tblInd w:w="0" w:type="dxa"/>
        <w:tblLayout w:type="fixed"/>
        <w:tblCellMar>
          <w:top w:w="0" w:type="dxa"/>
          <w:start w:w="108" w:type="dxa"/>
          <w:bottom w:w="0" w:type="dxa"/>
          <w:end w:w="108" w:type="dxa"/>
        </w:tblCellMar>
      </w:tblPr>
      <w:tblGrid>
        <w:gridCol w:w="4942"/>
        <w:gridCol w:w="4579"/>
      </w:tblGrid>
      <w:tr>
        <w:trPr>
          <w:trHeight w:val="1425" w:hRule="atLeast"/>
        </w:trPr>
        <w:tc>
          <w:tcPr>
            <w:tcW w:w="4942" w:type="dxa"/>
            <w:tcBorders/>
          </w:tcPr>
          <w:p>
            <w:pPr>
              <w:pStyle w:val="Normal"/>
              <w:tabs>
                <w:tab w:val="clear" w:pos="720"/>
                <w:tab w:val="center" w:pos="1800" w:leader="none"/>
                <w:tab w:val="center" w:pos="7920" w:leader="none"/>
              </w:tabs>
              <w:spacing w:before="60" w:after="60"/>
              <w:jc w:val="center"/>
              <w:rPr>
                <w:b/>
              </w:rPr>
            </w:pPr>
            <w:r>
              <w:rPr>
                <w:b/>
              </w:rPr>
              <w:t>ĐẠI DIỆN BÊN A</w:t>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rPr>
                <w:b/>
              </w:rPr>
            </w:pPr>
            <w:r>
              <w:rPr>
                <w:b/>
              </w:rPr>
            </w:r>
          </w:p>
          <w:p>
            <w:pPr>
              <w:pStyle w:val="Normal"/>
              <w:tabs>
                <w:tab w:val="clear" w:pos="720"/>
                <w:tab w:val="center" w:pos="1800" w:leader="none"/>
                <w:tab w:val="center" w:pos="7920" w:leader="none"/>
              </w:tabs>
              <w:spacing w:before="60" w:after="60"/>
              <w:jc w:val="center"/>
              <w:rPr>
                <w:b/>
                <w:i/>
              </w:rPr>
            </w:pPr>
            <w:r>
              <w:rPr>
                <w:b/>
                <w:i/>
              </w:rPr>
            </w:r>
          </w:p>
          <w:p>
            <w:pPr>
              <w:pStyle w:val="Normal"/>
              <w:tabs>
                <w:tab w:val="clear" w:pos="720"/>
                <w:tab w:val="center" w:pos="1800" w:leader="none"/>
                <w:tab w:val="center" w:pos="7920" w:leader="none"/>
              </w:tabs>
              <w:spacing w:before="60" w:after="60"/>
              <w:rPr>
                <w:b/>
                <w:i/>
              </w:rPr>
            </w:pPr>
            <w:r>
              <w:rPr>
                <w:b/>
                <w:i/>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tc>
        <w:tc>
          <w:tcPr>
            <w:tcW w:w="4579" w:type="dxa"/>
            <w:tcBorders/>
          </w:tcPr>
          <w:p>
            <w:pPr>
              <w:pStyle w:val="Normal"/>
              <w:tabs>
                <w:tab w:val="clear" w:pos="720"/>
                <w:tab w:val="center" w:pos="1800" w:leader="none"/>
                <w:tab w:val="center" w:pos="7920" w:leader="none"/>
              </w:tabs>
              <w:spacing w:before="60" w:after="60"/>
              <w:jc w:val="center"/>
              <w:rPr>
                <w:b/>
              </w:rPr>
            </w:pPr>
            <w:r>
              <w:rPr>
                <w:b/>
              </w:rPr>
              <w:t>ĐẠI DIỆN BÊN B</w:t>
            </w:r>
          </w:p>
          <w:p>
            <w:pPr>
              <w:pStyle w:val="Normal"/>
              <w:tabs>
                <w:tab w:val="clear" w:pos="720"/>
                <w:tab w:val="center" w:pos="1800" w:leader="none"/>
                <w:tab w:val="center" w:pos="7920" w:leader="none"/>
              </w:tabs>
              <w:spacing w:before="60" w:after="60"/>
              <w:jc w:val="center"/>
              <w:rPr/>
            </w:pPr>
            <w:r>
              <w:rPr>
                <w:b/>
              </w:rPr>
              <w:t>Giám đốc</w:t>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t>ĐẶNG THỊ NHƯ ANH</w:t>
            </w:r>
          </w:p>
        </w:tc>
      </w:tr>
    </w:tbl>
    <w:p>
      <w:pPr>
        <w:pStyle w:val="Normal"/>
        <w:tabs>
          <w:tab w:val="clear" w:pos="720"/>
          <w:tab w:val="left" w:pos="7466" w:leader="none"/>
        </w:tabs>
        <w:rPr/>
      </w:pPr>
      <w:r>
        <w:rPr/>
      </w:r>
    </w:p>
    <w:p>
      <w:pPr>
        <w:pStyle w:val="Normal"/>
        <w:tabs>
          <w:tab w:val="clear" w:pos="720"/>
          <w:tab w:val="left" w:pos="7466" w:leader="none"/>
        </w:tabs>
        <w:rPr/>
      </w:pPr>
      <w:r>
        <w:rPr/>
      </w:r>
    </w:p>
    <w:p>
      <w:pPr>
        <w:pStyle w:val="Normal"/>
        <w:tabs>
          <w:tab w:val="clear" w:pos="720"/>
          <w:tab w:val="left" w:pos="7466" w:leader="none"/>
        </w:tabs>
        <w:rPr/>
      </w:pPr>
      <w:r>
        <w:rPr/>
      </w:r>
    </w:p>
    <w:p>
      <w:pPr>
        <w:pStyle w:val="Normal"/>
        <w:tabs>
          <w:tab w:val="clear" w:pos="720"/>
          <w:tab w:val="left" w:pos="7466" w:leader="none"/>
        </w:tabs>
        <w:rPr/>
      </w:pPr>
      <w:r>
        <w:rPr/>
      </w:r>
    </w:p>
    <w:p>
      <w:pPr>
        <w:pStyle w:val="Normal"/>
        <w:tabs>
          <w:tab w:val="clear" w:pos="720"/>
          <w:tab w:val="left" w:pos="7466" w:leader="none"/>
        </w:tabs>
        <w:rPr>
          <w:b/>
        </w:rPr>
      </w:pPr>
      <w:r>
        <w:rPr>
          <w:b/>
        </w:rPr>
      </w:r>
    </w:p>
    <w:sectPr>
      <w:headerReference w:type="default" r:id="rId2"/>
      <w:footerReference w:type="default" r:id="rId3"/>
      <w:type w:val="nextPage"/>
      <w:pgSz w:w="11906" w:h="16838"/>
      <w:pgMar w:left="1247" w:right="851" w:gutter="0" w:header="720" w:top="776" w:footer="288" w:bottom="5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VnTime">
    <w:charset w:val="00" w:characterSet="windows-1252"/>
    <w:family w:val="swiss"/>
    <w:pitch w:val="variable"/>
  </w:font>
  <w:font w:name="Tahoma">
    <w:charset w:val="00" w:characterSet="windows-1252"/>
    <w:family w:val="swiss"/>
    <w:pitch w:val="variable"/>
  </w:font>
  <w:font w:name="Calibri">
    <w:charset w:val="00" w:characterSet="windows-1252"/>
    <w:family w:val="swiss"/>
    <w:pitch w:val="variable"/>
  </w:font>
  <w:font w:name="Liberation Sans">
    <w:altName w:val="Arial"/>
    <w:charset w:val="00" w:characterSet="windows-1252"/>
    <w:family w:val="swiss"/>
    <w:pitch w:val="variable"/>
  </w:font>
  <w:font w:name="VNI-Times">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0"/>
        <w:szCs w:val="20"/>
      </w:rPr>
    </w:pPr>
    <w:r>
      <w:rPr>
        <w:sz w:val="20"/>
        <w:szCs w:val="20"/>
      </w:rPr>
      <w:t xml:space="preserve">Trang </w:t>
    </w:r>
    <w:r>
      <w:rPr>
        <w:b/>
        <w:bCs/>
        <w:sz w:val="20"/>
        <w:szCs w:val="20"/>
      </w:rPr>
      <w:fldChar w:fldCharType="begin"/>
    </w:r>
    <w:r>
      <w:rPr>
        <w:b/>
        <w:bCs/>
        <w:sz w:val="20"/>
        <w:szCs w:val="20"/>
      </w:rPr>
      <w:instrText xml:space="preserve"> PAGE </w:instrText>
    </w:r>
    <w:r>
      <w:rPr>
        <w:b/>
        <w:bCs/>
        <w:sz w:val="20"/>
        <w:szCs w:val="20"/>
      </w:rPr>
      <w:fldChar w:fldCharType="separate"/>
    </w:r>
    <w:r>
      <w:rPr>
        <w:b/>
        <w:bCs/>
        <w:sz w:val="20"/>
        <w:szCs w:val="20"/>
      </w:rPr>
      <w:t>4</w:t>
    </w:r>
    <w:r>
      <w:rPr>
        <w:b/>
        <w:bCs/>
        <w:sz w:val="20"/>
        <w:szCs w:val="20"/>
      </w:rPr>
      <w:fldChar w:fldCharType="end"/>
    </w:r>
    <w:r>
      <w:rPr>
        <w:sz w:val="20"/>
        <w:szCs w:val="20"/>
      </w:rPr>
      <w:t xml:space="preserve"> / </w:t>
    </w:r>
    <w:r>
      <w:rPr>
        <w:b/>
        <w:bCs/>
        <w:sz w:val="20"/>
        <w:szCs w:val="20"/>
      </w:rPr>
      <w:fldChar w:fldCharType="begin"/>
    </w:r>
    <w:r>
      <w:rPr>
        <w:b/>
        <w:bCs/>
        <w:sz w:val="20"/>
        <w:szCs w:val="20"/>
      </w:rPr>
      <w:instrText xml:space="preserve"> NUMPAGES \* ARABIC </w:instrText>
    </w:r>
    <w:r>
      <w:rPr>
        <w:b/>
        <w:bCs/>
        <w:sz w:val="20"/>
        <w:szCs w:val="20"/>
      </w:rPr>
      <w:fldChar w:fldCharType="separate"/>
    </w:r>
    <w:r>
      <w:rPr>
        <w:b/>
        <w:bCs/>
        <w:sz w:val="20"/>
        <w:szCs w:val="20"/>
      </w:rPr>
      <w:t>4</w:t>
    </w:r>
    <w:r>
      <w:rPr>
        <w:b/>
        <w:bCs/>
        <w:sz w:val="20"/>
        <w:szCs w:val="20"/>
      </w:rPr>
      <w:fldChar w:fldCharType="end"/>
    </w:r>
  </w:p>
  <w:p>
    <w:pPr>
      <w:pStyle w:val="Footer"/>
      <w:ind w:end="360"/>
      <w:jc w:val="end"/>
      <w:rPr>
        <w:rFonts w:ascii="Tahoma" w:hAnsi="Tahoma" w:cs="Tahoma"/>
        <w:sz w:val="20"/>
        <w:szCs w:val="20"/>
      </w:rPr>
    </w:pPr>
    <w:r>
      <w:rPr>
        <w:rFonts w:cs="Tahoma" w:ascii="Tahoma" w:hAnsi="Tahoma"/>
        <w:sz w:val="20"/>
        <w:szCs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numFmt w:val="bullet"/>
      <w:lvlText w:val="-"/>
      <w:lvlJc w:val="start"/>
      <w:pPr>
        <w:tabs>
          <w:tab w:val="num" w:pos="1260"/>
        </w:tabs>
        <w:ind w:start="1260" w:hanging="360"/>
      </w:pPr>
      <w:rPr>
        <w:rFonts w:ascii="Times New Roman" w:hAnsi="Times New Roman" w:cs="Times New Roman" w:hint="default"/>
      </w:rPr>
    </w:lvl>
  </w:abstractNum>
  <w:abstractNum w:abstractNumId="3">
    <w:lvl w:ilvl="0">
      <w:start w:val="1"/>
      <w:numFmt w:val="bullet"/>
      <w:lvlText w:val=""/>
      <w:lvlJc w:val="start"/>
      <w:pPr>
        <w:tabs>
          <w:tab w:val="num" w:pos="1440"/>
        </w:tabs>
        <w:ind w:start="1440" w:hanging="360"/>
      </w:pPr>
      <w:rPr>
        <w:rFonts w:ascii="Wingdings" w:hAnsi="Wingdings" w:cs="Wingdings" w:hint="default"/>
      </w:rPr>
    </w:lvl>
  </w:abstractNum>
  <w:abstractNum w:abstractNumId="4">
    <w:lvl w:ilvl="0">
      <w:start w:val="1"/>
      <w:numFmt w:val="bullet"/>
      <w:lvlText w:val=""/>
      <w:lvlJc w:val="start"/>
      <w:pPr>
        <w:tabs>
          <w:tab w:val="num" w:pos="0"/>
        </w:tabs>
        <w:ind w:start="1390" w:hanging="360"/>
      </w:pPr>
      <w:rPr>
        <w:rFonts w:ascii="Wingdings" w:hAnsi="Wingdings" w:cs="Wingdings" w:hint="default"/>
      </w:rPr>
    </w:lvl>
  </w:abstractNum>
  <w:abstractNum w:abstractNumId="5">
    <w:lvl w:ilvl="0">
      <w:start w:val="1"/>
      <w:numFmt w:val="upperRoman"/>
      <w:lvlText w:val="%1-"/>
      <w:lvlJc w:val="start"/>
      <w:pPr>
        <w:tabs>
          <w:tab w:val="num" w:pos="0"/>
        </w:tabs>
        <w:ind w:start="1080" w:hanging="720"/>
      </w:pPr>
      <w:rPr>
        <w:b/>
        <w:i w:val="false"/>
        <w:color w:val="000000"/>
      </w:rPr>
    </w:lvl>
    <w:lvl w:ilvl="1">
      <w:start w:val="1"/>
      <w:numFmt w:val="decimal"/>
      <w:lvlText w:val="%2."/>
      <w:lvlJc w:val="start"/>
      <w:pPr>
        <w:tabs>
          <w:tab w:val="num" w:pos="0"/>
        </w:tabs>
        <w:ind w:start="1440" w:hanging="360"/>
      </w:pPr>
      <w:rPr>
        <w:rFonts w:hint="eastAsia"/>
        <w:b w:val="false"/>
        <w:color w:val="000000"/>
      </w:rPr>
    </w:lvl>
    <w:lvl w:ilvl="2">
      <w:start w:val="1"/>
      <w:numFmt w:val="bullet"/>
      <w:lvlText w:val="-"/>
      <w:lvlJc w:val="start"/>
      <w:pPr>
        <w:tabs>
          <w:tab w:val="num" w:pos="0"/>
        </w:tabs>
        <w:ind w:start="928" w:hanging="360"/>
      </w:pPr>
      <w:rPr>
        <w:rFonts w:ascii="Times New Roman" w:hAnsi="Times New Roman" w:cs="Times New Roman" w:hint="default"/>
        <w:b/>
        <w:color w:val="000000"/>
      </w:r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US"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Times New Roman"/>
      <w:b/>
      <w:bCs/>
      <w:kern w:val="2"/>
      <w:sz w:val="32"/>
      <w:szCs w:val="32"/>
    </w:rPr>
  </w:style>
  <w:style w:type="paragraph" w:styleId="Heading3">
    <w:name w:val="heading 3"/>
    <w:basedOn w:val="Normal"/>
    <w:next w:val="Normal"/>
    <w:qFormat/>
    <w:pPr>
      <w:keepNext w:val="true"/>
      <w:numPr>
        <w:ilvl w:val="2"/>
        <w:numId w:val="1"/>
      </w:numPr>
      <w:suppressAutoHyphens w:val="true"/>
      <w:spacing w:before="240" w:after="60"/>
      <w:outlineLvl w:val="2"/>
    </w:pPr>
    <w:rPr>
      <w:rFonts w:ascii="Arial" w:hAnsi="Arial" w:cs="Arial"/>
      <w:b/>
      <w:bCs/>
      <w:sz w:val="26"/>
      <w:szCs w:val="26"/>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WW8Num3z0">
    <w:name w:val="WW8Num3z0"/>
    <w:qFormat/>
    <w:rPr>
      <w:rFonts w:ascii="Times New Roman" w:hAnsi="Times New Roman" w:cs="Times New Roman"/>
      <w:color w:val="000000"/>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b/>
      <w:color w:val="00000A"/>
      <w:sz w:val="20"/>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b/>
      <w:i w:val="false"/>
      <w:color w:val="000000"/>
    </w:rPr>
  </w:style>
  <w:style w:type="character" w:styleId="WW8Num5z1">
    <w:name w:val="WW8Num5z1"/>
    <w:qFormat/>
    <w:rPr>
      <w:rFonts w:hint="eastAsia"/>
      <w:b w:val="false"/>
      <w:color w:val="000000"/>
    </w:rPr>
  </w:style>
  <w:style w:type="character" w:styleId="WW8Num5z2">
    <w:name w:val="WW8Num5z2"/>
    <w:qFormat/>
    <w:rPr>
      <w:rFonts w:ascii=".VnTime" w:hAnsi=".VnTime" w:eastAsia="Times New Roman" w:cs="Times New Roman"/>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0">
    <w:name w:val="WW8Num7z0"/>
    <w:qFormat/>
    <w:rPr>
      <w:rFonts w:ascii=".VnTime" w:hAnsi=".VnTime" w:eastAsia="Times New Roman"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Times New Roman" w:hAnsi="Times New Roman" w:eastAsia="Times New Roman" w:cs="Times New Roman"/>
    </w:rPr>
  </w:style>
  <w:style w:type="character" w:styleId="WW8Num8z5">
    <w:name w:val="WW8Num8z5"/>
    <w:qFormat/>
    <w:rPr>
      <w:rFonts w:ascii="Wingdings" w:hAnsi="Wingdings" w:cs="Wingdings"/>
    </w:rPr>
  </w:style>
  <w:style w:type="character" w:styleId="WW8Num9z0">
    <w:name w:val="WW8Num9z0"/>
    <w:qFormat/>
    <w:rPr>
      <w:b/>
      <w:color w:val="000000"/>
    </w:rPr>
  </w:style>
  <w:style w:type="character" w:styleId="WW8Num10z0">
    <w:name w:val="WW8Num10z0"/>
    <w:qFormat/>
    <w:rPr/>
  </w:style>
  <w:style w:type="character" w:styleId="WW8Num11z0">
    <w:name w:val="WW8Num11z0"/>
    <w:qFormat/>
    <w:rPr>
      <w:b/>
      <w:color w:val="000000"/>
    </w:rPr>
  </w:style>
  <w:style w:type="character" w:styleId="WW8Num12z0">
    <w:name w:val="WW8Num12z0"/>
    <w:qFormat/>
    <w:rPr>
      <w:rFonts w:ascii="Tahoma" w:hAnsi="Tahoma" w:cs="Tahoma"/>
      <w:b/>
      <w:sz w:val="20"/>
      <w:szCs w:val="20"/>
    </w:rPr>
  </w:style>
  <w:style w:type="character" w:styleId="WW8Num12z2">
    <w:name w:val="WW8Num12z2"/>
    <w:qFormat/>
    <w:rPr>
      <w:b/>
      <w:color w:val="000000"/>
    </w:rPr>
  </w:style>
  <w:style w:type="character" w:styleId="WW8Num12z3">
    <w:name w:val="WW8Num12z3"/>
    <w:qFormat/>
    <w:rPr>
      <w:rFonts w:ascii="Symbol" w:hAnsi="Symbol" w:eastAsia="Times New Roman" w:cs="Tahoma"/>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b/>
      <w:color w:val="000000"/>
    </w:rPr>
  </w:style>
  <w:style w:type="character" w:styleId="WW8Num15z0">
    <w:name w:val="WW8Num15z0"/>
    <w:qFormat/>
    <w:rPr>
      <w:rFonts w:ascii="Wingdings" w:hAnsi="Wingdings" w:cs="Wingdings"/>
    </w:rPr>
  </w:style>
  <w:style w:type="character" w:styleId="WW8Num15z1">
    <w:name w:val="WW8Num15z1"/>
    <w:qFormat/>
    <w:rPr>
      <w:rFonts w:ascii="Courier New" w:hAnsi="Courier New" w:cs="Courier New"/>
    </w:rPr>
  </w:style>
  <w:style w:type="character" w:styleId="WW8Num15z3">
    <w:name w:val="WW8Num15z3"/>
    <w:qFormat/>
    <w:rPr>
      <w:rFonts w:ascii="Symbol" w:hAnsi="Symbol" w:cs="Symbol"/>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Times New Roman" w:hAnsi="Times New Roman" w:cs="Times New Roman"/>
      <w:color w:val="000000"/>
    </w:rPr>
  </w:style>
  <w:style w:type="character" w:styleId="WW8Num17z1">
    <w:name w:val="WW8Num17z1"/>
    <w:qFormat/>
    <w:rPr>
      <w:rFonts w:ascii="Symbol" w:hAnsi="Symbol" w:cs="Symbol"/>
    </w:rPr>
  </w:style>
  <w:style w:type="character" w:styleId="WW8Num17z2">
    <w:name w:val="WW8Num17z2"/>
    <w:qFormat/>
    <w:rPr>
      <w:rFonts w:ascii="Wingdings" w:hAnsi="Wingdings" w:cs="Wingdings"/>
    </w:rPr>
  </w:style>
  <w:style w:type="character" w:styleId="WW8Num17z4">
    <w:name w:val="WW8Num17z4"/>
    <w:qFormat/>
    <w:rPr>
      <w:rFonts w:ascii="Courier New" w:hAnsi="Courier New" w:cs="Courier New"/>
    </w:rPr>
  </w:style>
  <w:style w:type="character" w:styleId="WW8Num18z0">
    <w:name w:val="WW8Num18z0"/>
    <w:qFormat/>
    <w:rPr>
      <w:b/>
      <w:i w:val="false"/>
      <w:color w:val="000000"/>
    </w:rPr>
  </w:style>
  <w:style w:type="character" w:styleId="WW8Num18z1">
    <w:name w:val="WW8Num18z1"/>
    <w:qFormat/>
    <w:rPr>
      <w:rFonts w:hint="eastAsia"/>
      <w:b w:val="false"/>
      <w:color w:val="000000"/>
    </w:rPr>
  </w:style>
  <w:style w:type="character" w:styleId="WW8Num18z2">
    <w:name w:val="WW8Num18z2"/>
    <w:qFormat/>
    <w:rPr>
      <w:rFonts w:ascii="Times New Roman" w:hAnsi="Times New Roman" w:eastAsia="Times New Roman" w:cs="Times New Roman"/>
      <w:b/>
      <w:color w:val="000000"/>
    </w:rPr>
  </w:style>
  <w:style w:type="character" w:styleId="Phngmcinhcuaoanvn">
    <w:name w:val="Phông mặc định của đoạn văn"/>
    <w:qFormat/>
    <w:rPr/>
  </w:style>
  <w:style w:type="character" w:styleId="PageNumber">
    <w:name w:val="page number"/>
    <w:basedOn w:val="Phngmcinhcuaoanvn"/>
    <w:rPr/>
  </w:style>
  <w:style w:type="character" w:styleId="Hyperlink">
    <w:name w:val="Hyperlink"/>
    <w:rPr>
      <w:color w:val="0000FF"/>
      <w:u w:val="single"/>
    </w:rPr>
  </w:style>
  <w:style w:type="character" w:styleId="KhngDncchChar">
    <w:name w:val="Không Dãn cách Char"/>
    <w:qFormat/>
    <w:rPr>
      <w:rFonts w:ascii="Calibri" w:hAnsi="Calibri" w:cs="Calibri"/>
      <w:sz w:val="22"/>
      <w:szCs w:val="22"/>
      <w:lang w:bidi="ar-SA"/>
    </w:rPr>
  </w:style>
  <w:style w:type="character" w:styleId="Emphasis">
    <w:name w:val="Emphasis"/>
    <w:qFormat/>
    <w:rPr>
      <w:i/>
      <w:iCs/>
    </w:rPr>
  </w:style>
  <w:style w:type="character" w:styleId="oancuaDanhsachChar">
    <w:name w:val="Đoạn của Danh sách Char"/>
    <w:qFormat/>
    <w:rPr>
      <w:sz w:val="24"/>
      <w:szCs w:val="24"/>
    </w:rPr>
  </w:style>
  <w:style w:type="character" w:styleId="u1Char">
    <w:name w:val="Đầu đề 1 Char"/>
    <w:qFormat/>
    <w:rPr>
      <w:rFonts w:ascii="Cambria" w:hAnsi="Cambria" w:eastAsia="Times New Roman" w:cs="Times New Roman"/>
      <w:b/>
      <w:bCs/>
      <w:kern w:val="2"/>
      <w:sz w:val="32"/>
      <w:szCs w:val="32"/>
    </w:rPr>
  </w:style>
  <w:style w:type="character" w:styleId="ChntrangChar">
    <w:name w:val="Chân trang Char"/>
    <w:qFormat/>
    <w:rPr>
      <w:sz w:val="24"/>
      <w:szCs w:val="24"/>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Bongchuthich">
    <w:name w:val="Bóng chú thích"/>
    <w:basedOn w:val="Normal"/>
    <w:qFormat/>
    <w:pPr/>
    <w:rPr>
      <w:rFonts w:ascii="Tahoma" w:hAnsi="Tahoma" w:cs="Tahoma"/>
      <w:sz w:val="16"/>
      <w:szCs w:val="16"/>
    </w:rPr>
  </w:style>
  <w:style w:type="paragraph" w:styleId="Header">
    <w:name w:val="header"/>
    <w:basedOn w:val="Normal"/>
    <w:pPr>
      <w:tabs>
        <w:tab w:val="clear" w:pos="720"/>
        <w:tab w:val="center" w:pos="4320" w:leader="none"/>
        <w:tab w:val="right" w:pos="8640" w:leader="none"/>
      </w:tabs>
    </w:pPr>
    <w:rPr/>
  </w:style>
  <w:style w:type="paragraph" w:styleId="oancuaDanhsach">
    <w:name w:val="Đoạn của Danh sách"/>
    <w:basedOn w:val="Normal"/>
    <w:qFormat/>
    <w:pPr>
      <w:spacing w:before="0" w:after="0"/>
      <w:ind w:hanging="0" w:start="720" w:end="0"/>
      <w:contextualSpacing/>
    </w:pPr>
    <w:rPr/>
  </w:style>
  <w:style w:type="paragraph" w:styleId="Thnvnban2">
    <w:name w:val="Thân văn bản 2"/>
    <w:basedOn w:val="Normal"/>
    <w:qFormat/>
    <w:pPr>
      <w:jc w:val="both"/>
    </w:pPr>
    <w:rPr>
      <w:rFonts w:ascii="VNI-Times" w:hAnsi="VNI-Times" w:cs="VNI-Times"/>
      <w:sz w:val="26"/>
    </w:rPr>
  </w:style>
  <w:style w:type="paragraph" w:styleId="Char">
    <w:name w:val="Char"/>
    <w:basedOn w:val="Normal"/>
    <w:qFormat/>
    <w:pPr>
      <w:spacing w:before="280" w:after="280"/>
      <w:ind w:hanging="0" w:start="851" w:end="0"/>
    </w:pPr>
    <w:rPr>
      <w:rFonts w:ascii="Tahoma" w:hAnsi="Tahoma" w:cs="Tahoma"/>
      <w:sz w:val="18"/>
      <w:szCs w:val="26"/>
    </w:rPr>
  </w:style>
  <w:style w:type="paragraph" w:styleId="KhngDncch">
    <w:name w:val="Không Dãn cách"/>
    <w:qFormat/>
    <w:pPr>
      <w:widowControl/>
      <w:bidi w:val="0"/>
    </w:pPr>
    <w:rPr>
      <w:rFonts w:ascii="Calibri" w:hAnsi="Calibri" w:eastAsia="Times New Roman" w:cs="Calibri"/>
      <w:color w:val="auto"/>
      <w:sz w:val="22"/>
      <w:szCs w:val="22"/>
      <w:lang w:bidi="ar-SA" w:val="en-US"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Mau HD (ca nhan).dot</Template>
  <TotalTime>1344</TotalTime>
  <Application>LibreOffice/26.2.2.2$Windows_X86_64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2025-11-10T09:59:00Z</dcterms:created>
  <dc:creator>Century</dc:creator>
  <dc:description/>
  <cp:keywords/>
  <dc:language>en-US</dc:language>
  <cp:lastModifiedBy>Trường pnt</cp:lastModifiedBy>
  <cp:lastPrinted>2025-11-12T10:54:00Z</cp:lastPrinted>
  <dcterms:modified xsi:type="dcterms:W3CDTF">2026-03-21T08:48:00Z</dcterms:modified>
  <cp:revision>48</cp:revision>
  <dc:subject/>
  <dc:title/>
</cp:coreProperties>
</file>