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alibri Light" w:hAnsi="Calibri Light"/>
          <w:b/>
          <w:color w:val="000000"/>
          <w:sz w:val="40"/>
        </w:rPr>
        <w:t>Cybersecurity Disclosure Comparative Assessment</w:t>
      </w:r>
    </w:p>
    <w:p>
      <w:pPr>
        <w:spacing w:after="0" w:before="0"/>
      </w:pPr>
      <w:r>
        <w:rPr>
          <w:rFonts w:ascii="Calibri" w:hAnsi="Calibri"/>
          <w:b w:val="0"/>
          <w:color w:val="000000"/>
          <w:sz w:val="22"/>
        </w:rPr>
        <w:t>27 May 2025</w:t>
      </w:r>
    </w:p>
    <w:p/>
    <w:p>
      <w:pPr>
        <w:pStyle w:val="Heading1"/>
        <w:spacing w:after="240"/>
      </w:pPr>
      <w:r>
        <w:rPr>
          <w:rFonts w:ascii="Calibri Light" w:hAnsi="Calibri Light"/>
          <w:b/>
          <w:color w:val="000000"/>
          <w:sz w:val="28"/>
        </w:rPr>
        <w:t>229.106.b – Risk management and strategy.</w:t>
      </w:r>
    </w:p>
    <w:p>
      <w:pPr>
        <w:spacing w:after="0" w:before="0"/>
        <w:shd w:val="clear" w:fill="F2F2F2"/>
      </w:pPr>
      <w:r>
        <w:rPr>
          <w:rFonts w:ascii="Calibri" w:hAnsi="Calibri"/>
          <w:b w:val="0"/>
          <w:color w:val="000000"/>
          <w:sz w:val="20"/>
        </w:rPr>
        <w:t>Across the requirement set, registrants present a broadly consistent picture of cybersecurity processes that are embedded within enterprise-risk frameworks, reference leading standards such as NIST and FFIEC, and employ layered technical controls, incident-response playbooks, and routine employee training. Board or senior-management oversight is almost universally cited, and every filer confirms the use of external assessors as well as oversight of third-party suppliers, suggesting that baseline governance structures are in place. Most entities also report that no cybersecurity threat has materially affected, or is reasonably likely to affect, their business, reinforcing a narrative of effective risk management.</w:t>
        <w:br/>
        <w:br/>
        <w:t>Notwithstanding this alignment, disclosure maturity is uneven. Many filers rely on bare binary flags for key sub-requirements and offer little to no narrative around assessor scope, third-party oversight mechanisms, or quantitative impact analysis. Depth of governance discussion ranges from cursory statements to detailed accounts that name specific committees, C-suite owners, managed-detection services, and insurance coverage. One registrant stands out for disclosing a prior cyber-attack and integrating lessons learned, while another exhibits a tagging inconsistency between its flag and narrative. These outliers, together with sporadic references to cyber-insurance and divergent framework citations, indicate that control effectiveness and transparency vary materially among peers.</w:t>
        <w:br/>
        <w:br/>
        <w:t>For investors, the collective disclosures imply that foundational cybersecurity programs are in place, but the sparse qualitative detail and occasional inconsistencies highlight potential gaps in disclosure controls and in the ability to articulate risk appetite and residual exposure. Entities providing granular, framework-aligned narratives and clear board-level accountability currently represent the upper tier of governance maturity; others may warrant additional diligence to validate the robustness of their cybersecurity risk management and reporting practices.</w:t>
      </w:r>
    </w:p>
    <w:p/>
    <w:p>
      <w:pPr>
        <w:pStyle w:val="Heading2"/>
        <w:spacing w:after="0" w:before="0"/>
      </w:pPr>
      <w:r>
        <w:rPr>
          <w:rFonts w:ascii="Calibri Light" w:hAnsi="Calibri Light"/>
          <w:b w:val="0"/>
          <w:color w:val="000000"/>
          <w:sz w:val="24"/>
        </w:rPr>
        <w:t>229.106.b – Risk management and strategy.</w:t>
      </w:r>
    </w:p>
    <w:p>
      <w:pPr>
        <w:spacing w:after="0" w:before="0"/>
      </w:pPr>
      <w:r>
        <w:rPr>
          <w:rFonts w:ascii="Calibri" w:hAnsi="Calibri"/>
          <w:b w:val="0"/>
          <w:color w:val="000000"/>
          <w:sz w:val="20"/>
        </w:rPr>
        <w:t>No disclosures available.</w:t>
      </w:r>
    </w:p>
    <w:p/>
    <w:p>
      <w:pPr>
        <w:pStyle w:val="Heading2"/>
        <w:spacing w:after="0" w:before="0"/>
      </w:pPr>
      <w:r>
        <w:rPr>
          <w:rFonts w:ascii="Calibri Light" w:hAnsi="Calibri Light"/>
          <w:b w:val="0"/>
          <w:color w:val="000000"/>
          <w:sz w:val="24"/>
        </w:rPr>
        <w:t>229.106.b.1</w:t>
      </w:r>
    </w:p>
    <w:p>
      <w:pPr>
        <w:spacing w:after="160" w:before="0"/>
      </w:pPr>
      <w:r>
        <w:rPr>
          <w:rFonts w:ascii="Calibri" w:hAnsi="Calibri"/>
          <w:b w:val="0"/>
          <w:i/>
          <w:color w:val="000000"/>
          <w:sz w:val="20"/>
        </w:rPr>
        <w:t>Describe the registrant's processes for assessing, identifying, and managing material risks from cybersecurity threats.</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All filers state that cybersecurity processes are embedded in, or closely coordinated with, their broader enterprise‐ or risk-management frameworks, often citing dedicated committees or steering groups.</w:t>
      </w:r>
    </w:p>
    <w:p>
      <w:pPr>
        <w:pStyle w:val="ListBullet"/>
        <w:spacing w:after="0" w:before="0"/>
      </w:pPr>
      <w:r>
        <w:rPr>
          <w:rFonts w:ascii="Calibri" w:hAnsi="Calibri"/>
          <w:b w:val="0"/>
          <w:color w:val="000000"/>
          <w:sz w:val="20"/>
        </w:rPr>
        <w:t>Frequent reference to recognized industry standards and regulatory guidance (predominantly NIST CSF and/or FFIEC; several also cite CIS) to describe how controls are structured and assessed.</w:t>
      </w:r>
    </w:p>
    <w:p>
      <w:pPr>
        <w:pStyle w:val="ListBullet"/>
        <w:spacing w:after="0" w:before="0"/>
      </w:pPr>
      <w:r>
        <w:rPr>
          <w:rFonts w:ascii="Calibri" w:hAnsi="Calibri"/>
          <w:b w:val="0"/>
          <w:color w:val="000000"/>
          <w:sz w:val="20"/>
        </w:rPr>
        <w:t>Recurring use of multi-layered technical controls and continuous monitoring tools (e.g., SIEM, MDR, firewalls, antivirus, vulnerability scans, penetration tests) coupled with periodic internal and external assessments.</w:t>
      </w:r>
    </w:p>
    <w:p>
      <w:pPr>
        <w:pStyle w:val="ListBullet"/>
        <w:spacing w:after="0" w:before="0"/>
      </w:pPr>
      <w:r>
        <w:rPr>
          <w:rFonts w:ascii="Calibri" w:hAnsi="Calibri"/>
          <w:b w:val="0"/>
          <w:color w:val="000000"/>
          <w:sz w:val="20"/>
        </w:rPr>
        <w:t>Nearly every registrant highlights a formal Incident Response Plan that is periodically tested through tabletop or simulated exercises and integrated with business-continuity plans.</w:t>
      </w:r>
    </w:p>
    <w:p>
      <w:pPr>
        <w:pStyle w:val="ListBullet"/>
        <w:spacing w:after="0" w:before="0"/>
      </w:pPr>
      <w:r>
        <w:rPr>
          <w:rFonts w:ascii="Calibri" w:hAnsi="Calibri"/>
          <w:b w:val="0"/>
          <w:color w:val="000000"/>
          <w:sz w:val="20"/>
        </w:rPr>
        <w:t>Broad reliance on third-party expertise: disclosures routinely mention external consultants for penetration testing, security monitoring, risk assessments and, in several cases, retained forensic/response firms.</w:t>
      </w:r>
    </w:p>
    <w:p>
      <w:pPr>
        <w:pStyle w:val="ListBullet"/>
        <w:spacing w:after="0" w:before="0"/>
      </w:pPr>
      <w:r>
        <w:rPr>
          <w:rFonts w:ascii="Calibri" w:hAnsi="Calibri"/>
          <w:b w:val="0"/>
          <w:color w:val="000000"/>
          <w:sz w:val="20"/>
        </w:rPr>
        <w:t>Vendor/third-party risk-management programs are consistently described, usually involving pre-engagement due diligence, ongoing monitoring and contractual security requirements.</w:t>
      </w:r>
    </w:p>
    <w:p>
      <w:pPr>
        <w:pStyle w:val="ListBullet"/>
        <w:spacing w:after="0" w:before="0"/>
      </w:pPr>
      <w:r>
        <w:rPr>
          <w:rFonts w:ascii="Calibri" w:hAnsi="Calibri"/>
          <w:b w:val="0"/>
          <w:color w:val="000000"/>
          <w:sz w:val="20"/>
        </w:rPr>
        <w:t>Regular employee (and often Board-level) cybersecurity awareness and phishing training appears in the vast majority of disclosures.</w:t>
      </w:r>
    </w:p>
    <w:p>
      <w:pPr>
        <w:pStyle w:val="ListBullet"/>
        <w:spacing w:after="0" w:before="0"/>
      </w:pPr>
      <w:r>
        <w:rPr>
          <w:rFonts w:ascii="Calibri" w:hAnsi="Calibri"/>
          <w:b w:val="0"/>
          <w:color w:val="000000"/>
          <w:sz w:val="20"/>
        </w:rPr>
        <w:t>Most entities expressly state that, to date, no material cybersecurity incidents have affected them and that identified threats have not materially impacted strategy, operations or financial condition.</w:t>
      </w:r>
    </w:p>
    <w:p>
      <w:pPr>
        <w:pStyle w:val="ListBullet"/>
        <w:spacing w:after="0" w:before="0"/>
      </w:pPr>
      <w:r>
        <w:rPr>
          <w:rFonts w:ascii="Calibri" w:hAnsi="Calibri"/>
          <w:b w:val="0"/>
          <w:color w:val="000000"/>
          <w:sz w:val="20"/>
        </w:rPr>
        <w:t>A number of registrants note that they carry cybersecurity insurance as a mitigant, although none treat it as a substitute for controls.</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Depth of disclosure varies markedly: several issuers provide granular, framework-aligned narratives with concrete control examples, while one filer offers only high-level, generic statements about “variety of preventative and detective tools,” with minimal process detail (notably less complete than peers).</w:t>
      </w:r>
    </w:p>
    <w:p>
      <w:pPr>
        <w:pStyle w:val="ListBullet"/>
        <w:spacing w:after="0" w:before="0"/>
      </w:pPr>
      <w:r>
        <w:rPr>
          <w:rFonts w:ascii="Calibri" w:hAnsi="Calibri"/>
          <w:b w:val="0"/>
          <w:color w:val="000000"/>
          <w:sz w:val="20"/>
        </w:rPr>
        <w:t>Only one registrant discloses a specific prior cyber-attack (April 2023) and integrates lessons-learned into its program; all others simply report no material incidents.</w:t>
      </w:r>
    </w:p>
    <w:p>
      <w:pPr>
        <w:pStyle w:val="ListBullet"/>
        <w:spacing w:after="0" w:before="0"/>
      </w:pPr>
      <w:r>
        <w:rPr>
          <w:rFonts w:ascii="Calibri" w:hAnsi="Calibri"/>
          <w:b w:val="0"/>
          <w:color w:val="000000"/>
          <w:sz w:val="20"/>
        </w:rPr>
        <w:t>A few entities (e.g., those referencing dedicated MDR services, a separate third-party-risk department, or explicit peer-sharing networks) describe more mature or specialized capabilities that are absent from most other filings.</w:t>
      </w:r>
    </w:p>
    <w:p>
      <w:pPr>
        <w:pStyle w:val="ListBullet"/>
        <w:spacing w:after="0" w:before="0"/>
      </w:pPr>
      <w:r>
        <w:rPr>
          <w:rFonts w:ascii="Calibri" w:hAnsi="Calibri"/>
          <w:b w:val="0"/>
          <w:color w:val="000000"/>
          <w:sz w:val="20"/>
        </w:rPr>
        <w:t>Discussion of Board oversight ranges from perfunctory mentions to detailed descriptions of Board-level approval of the Information Security Program and named committees; similarly, only some issuers identify specific C-suite roles (CIO, CISO, CRO, CSO) responsible for execution.</w:t>
      </w:r>
    </w:p>
    <w:p>
      <w:pPr>
        <w:pStyle w:val="ListBullet"/>
        <w:spacing w:after="0" w:before="0"/>
      </w:pPr>
      <w:r>
        <w:rPr>
          <w:rFonts w:ascii="Calibri" w:hAnsi="Calibri"/>
          <w:b w:val="0"/>
          <w:color w:val="000000"/>
          <w:sz w:val="20"/>
        </w:rPr>
        <w:t>Cyber-insurance coverage is explicitly referenced by roughly half of the filers, while the remainder are silent on the topic, indicating uneven transparency on financial mitigants.</w:t>
      </w:r>
    </w:p>
    <w:p>
      <w:pPr>
        <w:pStyle w:val="ListBullet"/>
        <w:spacing w:after="0" w:before="0"/>
      </w:pPr>
      <w:r>
        <w:rPr>
          <w:rFonts w:ascii="Calibri" w:hAnsi="Calibri"/>
          <w:b w:val="0"/>
          <w:color w:val="000000"/>
          <w:sz w:val="20"/>
        </w:rPr>
        <w:t>Alignment with specific control frameworks is not universal: a minority of disclosures omit any framework citation, creating an outlier group with less clarity on how controls are benchmarked.</w:t>
      </w:r>
    </w:p>
    <w:p/>
    <w:p>
      <w:pPr>
        <w:pStyle w:val="Heading2"/>
        <w:spacing w:after="0" w:before="0"/>
      </w:pPr>
      <w:r>
        <w:rPr>
          <w:rFonts w:ascii="Calibri Light" w:hAnsi="Calibri Light"/>
          <w:b w:val="0"/>
          <w:color w:val="000000"/>
          <w:sz w:val="24"/>
        </w:rPr>
        <w:t>229.106.b.1.i</w:t>
      </w:r>
    </w:p>
    <w:p>
      <w:pPr>
        <w:spacing w:after="160" w:before="0"/>
      </w:pPr>
      <w:r>
        <w:rPr>
          <w:rFonts w:ascii="Calibri" w:hAnsi="Calibri"/>
          <w:b w:val="0"/>
          <w:i/>
          <w:color w:val="000000"/>
          <w:sz w:val="20"/>
        </w:rPr>
        <w:t>Whether and how any such processes have been integrated into the registrant's overall risk management system.</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Every registrant affirmatively states that its cybersecurity processes are integrated into its broader risk management system, resulting in a 9-of-9 “true” response rate.</w:t>
      </w:r>
    </w:p>
    <w:p>
      <w:pPr>
        <w:pStyle w:val="ListBullet"/>
        <w:spacing w:after="0" w:before="0"/>
      </w:pPr>
      <w:r>
        <w:rPr>
          <w:rFonts w:ascii="Calibri" w:hAnsi="Calibri"/>
          <w:b w:val="0"/>
          <w:color w:val="000000"/>
          <w:sz w:val="20"/>
        </w:rPr>
        <w:t>Most disclosures position cybersecurity as a component of an enterprise-level or information security program that is periodically reviewed and updated.</w:t>
      </w:r>
    </w:p>
    <w:p>
      <w:pPr>
        <w:pStyle w:val="ListBullet"/>
        <w:spacing w:after="0" w:before="0"/>
      </w:pPr>
      <w:r>
        <w:rPr>
          <w:rFonts w:ascii="Calibri" w:hAnsi="Calibri"/>
          <w:b w:val="0"/>
          <w:color w:val="000000"/>
          <w:sz w:val="20"/>
        </w:rPr>
        <w:t>Board-level or senior-management oversight is routinely referenced, with committees (e.g., Information Technology, Risk Oversight, or Audit) receiving regular briefings.</w:t>
      </w:r>
    </w:p>
    <w:p>
      <w:pPr>
        <w:pStyle w:val="ListBullet"/>
        <w:spacing w:after="0" w:before="0"/>
      </w:pPr>
      <w:r>
        <w:rPr>
          <w:rFonts w:ascii="Calibri" w:hAnsi="Calibri"/>
          <w:b w:val="0"/>
          <w:color w:val="000000"/>
          <w:sz w:val="20"/>
        </w:rPr>
        <w:t>Integration is frequently described in connection with industry frameworks (NIST, CIS or FFIEC) and layered security controls such as penetration tests, intrusion detection, multi-factor authentication and employee awareness training.</w:t>
      </w:r>
    </w:p>
    <w:p>
      <w:pPr>
        <w:pStyle w:val="ListBullet"/>
        <w:spacing w:after="0" w:before="0"/>
      </w:pPr>
      <w:r>
        <w:rPr>
          <w:rFonts w:ascii="Calibri" w:hAnsi="Calibri"/>
          <w:b w:val="0"/>
          <w:color w:val="000000"/>
          <w:sz w:val="20"/>
        </w:rPr>
        <w:t>Several registrants cite cross-functional coordination between risk, IT and security teams and emphasize alignment of cyber considerations with business objectives.</w:t>
      </w:r>
    </w:p>
    <w:p>
      <w:pPr>
        <w:pStyle w:val="ListBullet"/>
        <w:spacing w:after="0" w:before="0"/>
      </w:pPr>
      <w:r>
        <w:rPr>
          <w:rFonts w:ascii="Calibri" w:hAnsi="Calibri"/>
          <w:b w:val="0"/>
          <w:color w:val="000000"/>
          <w:sz w:val="20"/>
        </w:rPr>
        <w:t>Routine internal audits, third-party assessments and regulatory examinations are commonly mentioned as mechanisms that tie cybersecurity into the overall risk management cycle.</w:t>
      </w:r>
    </w:p>
    <w:p>
      <w:pPr>
        <w:pStyle w:val="ListBullet"/>
        <w:spacing w:after="0" w:before="0"/>
      </w:pPr>
      <w:r>
        <w:rPr>
          <w:rFonts w:ascii="Calibri" w:hAnsi="Calibri"/>
          <w:b w:val="0"/>
          <w:color w:val="000000"/>
          <w:sz w:val="20"/>
        </w:rPr>
        <w:t>Incident response planning and periodic tabletop exercises are referenced by a majority, underscoring preparedness as part of the wider risk framework.</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Disclosure depth varies markedly: a few registrants provide only a brief confirmation of integration, whereas others supply multi-paragraph narratives detailing specific controls, committees, external assessors and insurance coverage.</w:t>
      </w:r>
    </w:p>
    <w:p>
      <w:pPr>
        <w:pStyle w:val="ListBullet"/>
        <w:spacing w:after="0" w:before="0"/>
      </w:pPr>
      <w:r>
        <w:rPr>
          <w:rFonts w:ascii="Calibri" w:hAnsi="Calibri"/>
          <w:b w:val="0"/>
          <w:color w:val="000000"/>
          <w:sz w:val="20"/>
        </w:rPr>
        <w:t>Only a minority explicitly reference the use of cyber insurance as a risk-transfer element within the overall framework, distinguishing them as more detailed in financial risk mitigation.</w:t>
      </w:r>
    </w:p>
    <w:p>
      <w:pPr>
        <w:pStyle w:val="ListBullet"/>
        <w:spacing w:after="0" w:before="0"/>
      </w:pPr>
      <w:r>
        <w:rPr>
          <w:rFonts w:ascii="Calibri" w:hAnsi="Calibri"/>
          <w:b w:val="0"/>
          <w:color w:val="000000"/>
          <w:sz w:val="20"/>
        </w:rPr>
        <w:t>A limited subset identifies dedicated Managed Detection &amp; Response services, insider-risk programs or formal third-party supplier oversight, indicating a higher level of program maturity.</w:t>
      </w:r>
    </w:p>
    <w:p>
      <w:pPr>
        <w:pStyle w:val="ListBullet"/>
        <w:spacing w:after="0" w:before="0"/>
      </w:pPr>
      <w:r>
        <w:rPr>
          <w:rFonts w:ascii="Calibri" w:hAnsi="Calibri"/>
          <w:b w:val="0"/>
          <w:color w:val="000000"/>
          <w:sz w:val="20"/>
        </w:rPr>
        <w:t>References to specific industry standards differ; while NIST is cited by several registrants, explicit mention of CIS controls or FFIEC guidance appears in only isolated filings.</w:t>
      </w:r>
    </w:p>
    <w:p>
      <w:pPr>
        <w:pStyle w:val="ListBullet"/>
        <w:spacing w:after="0" w:before="0"/>
      </w:pPr>
      <w:r>
        <w:rPr>
          <w:rFonts w:ascii="Calibri" w:hAnsi="Calibri"/>
          <w:b w:val="0"/>
          <w:color w:val="000000"/>
          <w:sz w:val="20"/>
        </w:rPr>
        <w:t>One registrant highlights board approval of its Information Security Program on an annual basis— a governance detail not seen in most other disclosures.</w:t>
      </w:r>
    </w:p>
    <w:p>
      <w:pPr>
        <w:pStyle w:val="ListBullet"/>
        <w:spacing w:after="0" w:before="0"/>
      </w:pPr>
      <w:r>
        <w:rPr>
          <w:rFonts w:ascii="Calibri" w:hAnsi="Calibri"/>
          <w:b w:val="0"/>
          <w:color w:val="000000"/>
          <w:sz w:val="20"/>
        </w:rPr>
        <w:t>Overall, a few entities stand out as positive outliers for completeness, offering granular descriptions of risk assessments, layered defenses and vendor due-diligence processes, whereas the tersest filings provide minimal narrative beyond stating that integration exists.</w:t>
      </w:r>
    </w:p>
    <w:p/>
    <w:p>
      <w:pPr>
        <w:pStyle w:val="Heading2"/>
        <w:spacing w:after="0" w:before="0"/>
      </w:pPr>
      <w:r>
        <w:rPr>
          <w:rFonts w:ascii="Calibri Light" w:hAnsi="Calibri Light"/>
          <w:b w:val="0"/>
          <w:color w:val="000000"/>
          <w:sz w:val="24"/>
        </w:rPr>
        <w:t>229.106.b.1.ii</w:t>
      </w:r>
    </w:p>
    <w:p>
      <w:pPr>
        <w:spacing w:after="160" w:before="0"/>
      </w:pPr>
      <w:r>
        <w:rPr>
          <w:rFonts w:ascii="Calibri" w:hAnsi="Calibri"/>
          <w:b w:val="0"/>
          <w:i/>
          <w:color w:val="000000"/>
          <w:sz w:val="20"/>
        </w:rPr>
        <w:t>Whether the registrant engages assessors, consultants, auditors, or other third parties.</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All nine filers expressly indicate that they do engage outside assessors, consultants, auditors, or other third parties, resulting in a 100% affirmative response rate.</w:t>
      </w:r>
    </w:p>
    <w:p>
      <w:pPr>
        <w:pStyle w:val="ListBullet"/>
        <w:spacing w:after="0" w:before="0"/>
      </w:pPr>
      <w:r>
        <w:rPr>
          <w:rFonts w:ascii="Calibri" w:hAnsi="Calibri"/>
          <w:b w:val="0"/>
          <w:color w:val="000000"/>
          <w:sz w:val="20"/>
        </w:rPr>
        <w:t>The disclosures are provided exclusively as a binary flag with no narrative expansion, suggesting a widespread, minimal-compliance approach focused on meeting the checkbox requirement rather than elaborating on scope, frequency, or type of engagements.</w:t>
      </w:r>
    </w:p>
    <w:p>
      <w:pPr>
        <w:pStyle w:val="ListBullet"/>
        <w:spacing w:after="0" w:before="0"/>
      </w:pPr>
      <w:r>
        <w:rPr>
          <w:rFonts w:ascii="Calibri" w:hAnsi="Calibri"/>
          <w:b w:val="0"/>
          <w:color w:val="000000"/>
          <w:sz w:val="20"/>
        </w:rPr>
        <w:t>Completeness is high with respect to the narrow yes/no requirement, and formatting consistency implies standardized internal reporting processes across entities.</w:t>
      </w:r>
    </w:p>
    <w:p>
      <w:pPr>
        <w:pStyle w:val="ListBullet"/>
        <w:spacing w:after="0" w:before="0"/>
      </w:pPr>
      <w:r>
        <w:rPr>
          <w:rFonts w:ascii="Calibri" w:hAnsi="Calibri"/>
          <w:b w:val="0"/>
          <w:color w:val="000000"/>
          <w:sz w:val="20"/>
        </w:rPr>
        <w:t>Uniform affirmative responses reinforce the broader sector trend of leveraging external expertise to supplement internal cybersecurity programs.</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No entity reported a negative response; therefore, there is no variability to contrast, and no entity stands out as a positive or negative outlier.</w:t>
      </w:r>
    </w:p>
    <w:p>
      <w:pPr>
        <w:pStyle w:val="ListBullet"/>
        <w:spacing w:after="0" w:before="0"/>
      </w:pPr>
      <w:r>
        <w:rPr>
          <w:rFonts w:ascii="Calibri" w:hAnsi="Calibri"/>
          <w:b w:val="0"/>
          <w:color w:val="000000"/>
          <w:sz w:val="20"/>
        </w:rPr>
        <w:t>Because every filer limited its disclosure to the binary flag, differentiation on clarity or substance is impossible; the lack of descriptive context across the board represents a common disclosure gap rather than a firm-specific anomaly.</w:t>
      </w:r>
    </w:p>
    <w:p/>
    <w:p>
      <w:pPr>
        <w:pStyle w:val="Heading2"/>
        <w:spacing w:after="0" w:before="0"/>
      </w:pPr>
      <w:r>
        <w:rPr>
          <w:rFonts w:ascii="Calibri Light" w:hAnsi="Calibri Light"/>
          <w:b w:val="0"/>
          <w:color w:val="000000"/>
          <w:sz w:val="24"/>
        </w:rPr>
        <w:t>229.106.b.1.iii</w:t>
      </w:r>
    </w:p>
    <w:p>
      <w:pPr>
        <w:spacing w:after="160" w:before="0"/>
      </w:pPr>
      <w:r>
        <w:rPr>
          <w:rFonts w:ascii="Calibri" w:hAnsi="Calibri"/>
          <w:b w:val="0"/>
          <w:i/>
          <w:color w:val="000000"/>
          <w:sz w:val="20"/>
        </w:rPr>
        <w:t>Whether the registrant has processes to oversee and identify such risks from cybersecurity threats associated with its use of any third-party service provider.</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All nine registrants answer “true,” indicating universal acknowledgment that they maintain processes to oversee and identify third-party cybersecurity risks.</w:t>
      </w:r>
    </w:p>
    <w:p>
      <w:pPr>
        <w:pStyle w:val="ListBullet"/>
        <w:spacing w:after="0" w:before="0"/>
      </w:pPr>
      <w:r>
        <w:rPr>
          <w:rFonts w:ascii="Calibri" w:hAnsi="Calibri"/>
          <w:b w:val="0"/>
          <w:color w:val="000000"/>
          <w:sz w:val="20"/>
        </w:rPr>
        <w:t>Disclosures are limited to the binary flag; no entity offers narrative explanation, metrics, or examples of the underlying oversight mechanisms.</w:t>
      </w:r>
    </w:p>
    <w:p>
      <w:pPr>
        <w:pStyle w:val="ListBullet"/>
        <w:spacing w:after="0" w:before="0"/>
      </w:pPr>
      <w:r>
        <w:rPr>
          <w:rFonts w:ascii="Calibri" w:hAnsi="Calibri"/>
          <w:b w:val="0"/>
          <w:color w:val="000000"/>
          <w:sz w:val="20"/>
        </w:rPr>
        <w:t>The uniform affirmative response suggests that establishing at least nominal third-party risk oversight is now viewed as a baseline compliance expectation among peer financial institutions.</w:t>
      </w:r>
    </w:p>
    <w:p>
      <w:pPr>
        <w:pStyle w:val="ListBullet"/>
        <w:spacing w:after="0" w:before="0"/>
      </w:pPr>
      <w:r>
        <w:rPr>
          <w:rFonts w:ascii="Calibri" w:hAnsi="Calibri"/>
          <w:b w:val="0"/>
          <w:color w:val="000000"/>
          <w:sz w:val="20"/>
        </w:rPr>
        <w:t>Clarity is high because the flag is unambiguous, yet substantive insight into process maturity or effectiveness is uniformly low.</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No variation exists in the data set—there are neither negative nor qualified responses, eliminating quantitative outliers.</w:t>
      </w:r>
    </w:p>
    <w:p>
      <w:pPr>
        <w:pStyle w:val="ListBullet"/>
        <w:spacing w:after="0" w:before="0"/>
      </w:pPr>
      <w:r>
        <w:rPr>
          <w:rFonts w:ascii="Calibri" w:hAnsi="Calibri"/>
          <w:b w:val="0"/>
          <w:color w:val="000000"/>
          <w:sz w:val="20"/>
        </w:rPr>
        <w:t>Since every registrant provides only the bare affirmative flag, differentiation on completeness or depth cannot be assessed; the material gap for the entire group is the absence of descriptive detail that the rule permits.</w:t>
      </w:r>
    </w:p>
    <w:p>
      <w:pPr>
        <w:pStyle w:val="ListBullet"/>
        <w:spacing w:after="0" w:before="0"/>
      </w:pPr>
      <w:r>
        <w:rPr>
          <w:rFonts w:ascii="Calibri" w:hAnsi="Calibri"/>
          <w:b w:val="0"/>
          <w:color w:val="000000"/>
          <w:sz w:val="20"/>
        </w:rPr>
        <w:t>A future outlier would be any filer that offers narrative context or a “false/NA” response, but none are present in the current sample.</w:t>
      </w:r>
    </w:p>
    <w:p/>
    <w:p>
      <w:pPr>
        <w:pStyle w:val="Heading2"/>
        <w:spacing w:after="0" w:before="0"/>
      </w:pPr>
      <w:r>
        <w:rPr>
          <w:rFonts w:ascii="Calibri Light" w:hAnsi="Calibri Light"/>
          <w:b w:val="0"/>
          <w:color w:val="000000"/>
          <w:sz w:val="24"/>
        </w:rPr>
        <w:t>229.106.b.2</w:t>
      </w:r>
    </w:p>
    <w:p>
      <w:pPr>
        <w:spacing w:after="160" w:before="0"/>
      </w:pPr>
      <w:r>
        <w:rPr>
          <w:rFonts w:ascii="Calibri" w:hAnsi="Calibri"/>
          <w:b w:val="0"/>
          <w:i/>
          <w:color w:val="000000"/>
          <w:sz w:val="20"/>
        </w:rPr>
        <w:t>Describe whether any risks from cybersecurity threats, including as a result of any previous cybersecurity incidents, have materially affected or are reasonably likely to materially affect the registrant, including its business strategy, results of operations, or financial condition and if so, how.</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Nine of ten registrants affirmatively state, via the flag, that cybersecurity threats have NOT materially affected nor are reasonably likely to materially affect the business, strategy, results of operations, or financial condition.</w:t>
      </w:r>
    </w:p>
    <w:p>
      <w:pPr>
        <w:pStyle w:val="ListBullet"/>
        <w:spacing w:after="0" w:before="0"/>
      </w:pPr>
      <w:r>
        <w:rPr>
          <w:rFonts w:ascii="Calibri" w:hAnsi="Calibri"/>
          <w:b w:val="0"/>
          <w:color w:val="000000"/>
          <w:sz w:val="20"/>
        </w:rPr>
        <w:t>Narrative content is sparse: only four registrants supply any narrative text, and two of those narratives are brief, generic statements about the growing sophistication of threats; six registrants provide no explanatory text at all.</w:t>
      </w:r>
    </w:p>
    <w:p>
      <w:pPr>
        <w:pStyle w:val="ListBullet"/>
        <w:spacing w:after="0" w:before="0"/>
      </w:pPr>
      <w:r>
        <w:rPr>
          <w:rFonts w:ascii="Calibri" w:hAnsi="Calibri"/>
          <w:b w:val="0"/>
          <w:color w:val="000000"/>
          <w:sz w:val="20"/>
        </w:rPr>
        <w:t>Where narrative is provided, a common structure is used: (i) assertion of no material impact to-date, (ii) acknowledgement that future incidents could be material, and (iii) cross-reference to the “Risk Factors” section.</w:t>
      </w:r>
    </w:p>
    <w:p>
      <w:pPr>
        <w:pStyle w:val="ListBullet"/>
        <w:spacing w:after="0" w:before="0"/>
      </w:pPr>
      <w:r>
        <w:rPr>
          <w:rFonts w:ascii="Calibri" w:hAnsi="Calibri"/>
          <w:b w:val="0"/>
          <w:color w:val="000000"/>
          <w:sz w:val="20"/>
        </w:rPr>
        <w:t>Two narratives explicitly mention the existence of cybersecurity insurance while cautioning that such insurance may not fully cover potential losses, suggesting a developing practice of disclosing insurance as a mitigating factor.</w:t>
      </w:r>
    </w:p>
    <w:p>
      <w:pPr>
        <w:pStyle w:val="ListBullet"/>
        <w:spacing w:after="0" w:before="0"/>
      </w:pPr>
      <w:r>
        <w:rPr>
          <w:rFonts w:ascii="Calibri" w:hAnsi="Calibri"/>
          <w:b w:val="0"/>
          <w:color w:val="000000"/>
          <w:sz w:val="20"/>
        </w:rPr>
        <w:t>All registrants, even those offering fuller explanations, stop short of quantifying potential impacts or providing scenario-based analysis; disclosures remain qualitative and high-level.</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One registrant’s flag indicates that risks HAVE materially affected or are reasonably likely to do so, yet its narrative states the opposite, creating an internal inconsistency and signaling a possible tagging or drafting error.</w:t>
      </w:r>
    </w:p>
    <w:p>
      <w:pPr>
        <w:pStyle w:val="ListBullet"/>
        <w:spacing w:after="0" w:before="0"/>
      </w:pPr>
      <w:r>
        <w:rPr>
          <w:rFonts w:ascii="Calibri" w:hAnsi="Calibri"/>
          <w:b w:val="0"/>
          <w:color w:val="000000"/>
          <w:sz w:val="20"/>
        </w:rPr>
        <w:t>Only one filer references a specific historical incident (an April 2023 attack) and links to contingent liability footnotes, demonstrating a higher level of specificity than peers.</w:t>
      </w:r>
    </w:p>
    <w:p>
      <w:pPr>
        <w:pStyle w:val="ListBullet"/>
        <w:spacing w:after="0" w:before="0"/>
      </w:pPr>
      <w:r>
        <w:rPr>
          <w:rFonts w:ascii="Calibri" w:hAnsi="Calibri"/>
          <w:b w:val="0"/>
          <w:color w:val="000000"/>
          <w:sz w:val="20"/>
        </w:rPr>
        <w:t>The majority of filers (60%) provide no narrative at all, representing a completeness gap relative to peers who include even minimal qualitative discussion.</w:t>
      </w:r>
    </w:p>
    <w:p>
      <w:pPr>
        <w:pStyle w:val="ListBullet"/>
        <w:spacing w:after="0" w:before="0"/>
      </w:pPr>
      <w:r>
        <w:rPr>
          <w:rFonts w:ascii="Calibri" w:hAnsi="Calibri"/>
          <w:b w:val="0"/>
          <w:color w:val="000000"/>
          <w:sz w:val="20"/>
        </w:rPr>
        <w:t>Among those that do discuss risk, depth varies: one registrant offers multi-paragraph, formatted text with detailed cross-references, while another confines its disclosure to a single cautionary sentence, highlighting disparate levels of substance and clarity.</w:t>
      </w:r>
    </w:p>
    <w:p/>
    <w:p>
      <w:r>
        <w:br w:type="page"/>
      </w:r>
    </w:p>
    <w:p>
      <w:pPr>
        <w:pStyle w:val="Heading1"/>
        <w:spacing w:after="240"/>
      </w:pPr>
      <w:r>
        <w:rPr>
          <w:rFonts w:ascii="Calibri Light" w:hAnsi="Calibri Light"/>
          <w:b/>
          <w:color w:val="000000"/>
          <w:sz w:val="28"/>
        </w:rPr>
        <w:t>229.106.c – Governance.</w:t>
      </w:r>
    </w:p>
    <w:p>
      <w:pPr>
        <w:spacing w:after="0" w:before="0"/>
        <w:shd w:val="clear" w:fill="F2F2F2"/>
      </w:pPr>
      <w:r>
        <w:rPr>
          <w:rFonts w:ascii="Calibri" w:hAnsi="Calibri"/>
          <w:b w:val="0"/>
          <w:color w:val="000000"/>
          <w:sz w:val="20"/>
        </w:rPr>
        <w:t>Cyber-risk governance has largely been professionalised across the filer set. Oversight is almost universally anchored in a board-level committee—typically Risk, Audit or Technology—with the CISO/CRO providing structured briefings, most often on a quarterly cycle, and many issuers layering in director training and annual policy approvals. At the management tier, an in-house CISO supported by cross-functional risk and IT committees is the prevailing model, and experience credentials (CISSP, CISM, etc.) are increasingly disclosed, signalling a maturing talent pool.</w:t>
        <w:br/>
        <w:br/>
        <w:t>Despite this broad alignment, rigor is uneven. A leading group outlines dual-committee coordination, monthly dashboards, explicit incident-response escalation triggers and forward-looking enhancements—indicators of an advanced, metrics-driven programme. Conversely, a small but material subset offers only cursory narratives, omits board involvement or relies on unconventional structures such as an outsourced “virtual” CISO; these gaps, along with undefined or semi-annual reporting cadences, suggest weaker operational discipline.</w:t>
        <w:br/>
        <w:br/>
        <w:t>For investors, the takeaway is two-fold: formal frameworks are in place across the industry, reducing the likelihood of outright governance failure, yet the depth of disclosure sharply differentiates firms’ cyber-maturity. Issuers providing granular, frequent reporting and demonstrable board engagement present a lower residual risk profile than peers whose statements remain high-level or incomplete.</w:t>
      </w:r>
    </w:p>
    <w:p/>
    <w:p>
      <w:pPr>
        <w:pStyle w:val="Heading2"/>
        <w:spacing w:after="0" w:before="0"/>
      </w:pPr>
      <w:r>
        <w:rPr>
          <w:rFonts w:ascii="Calibri Light" w:hAnsi="Calibri Light"/>
          <w:b w:val="0"/>
          <w:color w:val="000000"/>
          <w:sz w:val="24"/>
        </w:rPr>
        <w:t>229.106.c – Governance.</w:t>
      </w:r>
    </w:p>
    <w:p>
      <w:pPr>
        <w:spacing w:after="0" w:before="0"/>
      </w:pPr>
      <w:r>
        <w:rPr>
          <w:rFonts w:ascii="Calibri" w:hAnsi="Calibri"/>
          <w:b w:val="0"/>
          <w:color w:val="000000"/>
          <w:sz w:val="20"/>
        </w:rPr>
        <w:t>No disclosures available.</w:t>
      </w:r>
    </w:p>
    <w:p/>
    <w:p>
      <w:pPr>
        <w:pStyle w:val="Heading2"/>
        <w:spacing w:after="0" w:before="0"/>
      </w:pPr>
      <w:r>
        <w:rPr>
          <w:rFonts w:ascii="Calibri Light" w:hAnsi="Calibri Light"/>
          <w:b w:val="0"/>
          <w:color w:val="000000"/>
          <w:sz w:val="24"/>
        </w:rPr>
        <w:t>229.106.c.1</w:t>
      </w:r>
    </w:p>
    <w:p>
      <w:pPr>
        <w:spacing w:after="160" w:before="0"/>
      </w:pPr>
      <w:r>
        <w:rPr>
          <w:rFonts w:ascii="Calibri" w:hAnsi="Calibri"/>
          <w:b w:val="0"/>
          <w:i/>
          <w:color w:val="000000"/>
          <w:sz w:val="20"/>
        </w:rPr>
        <w:t>Describe the board of directors' oversight of risks from cybersecurity threats. Identify any board committee or subcommittee responsible and describe processes by which the board/committee is informed.</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Most filers assign cybersecurity oversight to a board-level body such as a Risk, Audit, Technology or IT Steering Committee; only a small minority retain responsibility with the full Board.</w:t>
      </w:r>
    </w:p>
    <w:p>
      <w:pPr>
        <w:pStyle w:val="ListBullet"/>
        <w:spacing w:after="0" w:before="0"/>
      </w:pPr>
      <w:r>
        <w:rPr>
          <w:rFonts w:ascii="Calibri" w:hAnsi="Calibri"/>
          <w:b w:val="0"/>
          <w:color w:val="000000"/>
          <w:sz w:val="20"/>
        </w:rPr>
        <w:t>Regular, structured reporting from management to the Board/committee is consistently described, with quarterly updates being the most common cadence and several entities citing monthly or “every meeting” briefings.</w:t>
      </w:r>
    </w:p>
    <w:p>
      <w:pPr>
        <w:pStyle w:val="ListBullet"/>
        <w:spacing w:after="0" w:before="0"/>
      </w:pPr>
      <w:r>
        <w:rPr>
          <w:rFonts w:ascii="Calibri" w:hAnsi="Calibri"/>
          <w:b w:val="0"/>
          <w:color w:val="000000"/>
          <w:sz w:val="20"/>
        </w:rPr>
        <w:t>The primary presenters to the Board/committee are typically the Chief Risk Officer, Chief Information Security Officer and/or Chief Information Officer, signalling a shared governance model that links risk and technology leadership.</w:t>
      </w:r>
    </w:p>
    <w:p>
      <w:pPr>
        <w:pStyle w:val="ListBullet"/>
        <w:spacing w:after="0" w:before="0"/>
      </w:pPr>
      <w:r>
        <w:rPr>
          <w:rFonts w:ascii="Calibri" w:hAnsi="Calibri"/>
          <w:b w:val="0"/>
          <w:color w:val="000000"/>
          <w:sz w:val="20"/>
        </w:rPr>
        <w:t>Dual-committee coordination (e.g., Risk plus Audit, or Risk plus Technology) is frequently referenced, suggesting layered oversight mechanisms.</w:t>
      </w:r>
    </w:p>
    <w:p>
      <w:pPr>
        <w:pStyle w:val="ListBullet"/>
        <w:spacing w:after="0" w:before="0"/>
      </w:pPr>
      <w:r>
        <w:rPr>
          <w:rFonts w:ascii="Calibri" w:hAnsi="Calibri"/>
          <w:b w:val="0"/>
          <w:color w:val="000000"/>
          <w:sz w:val="20"/>
        </w:rPr>
        <w:t>Many disclosures mention annual board training or director education on cybersecurity, indicating a growing focus on board-level competence in this area.</w:t>
      </w:r>
    </w:p>
    <w:p>
      <w:pPr>
        <w:pStyle w:val="ListBullet"/>
        <w:spacing w:after="0" w:before="0"/>
      </w:pPr>
      <w:r>
        <w:rPr>
          <w:rFonts w:ascii="Calibri" w:hAnsi="Calibri"/>
          <w:b w:val="0"/>
          <w:color w:val="000000"/>
          <w:sz w:val="20"/>
        </w:rPr>
        <w:t>Board or committee review and approval of cybersecurity policies, programs or risk parameters at least once per year is a recurring element.</w:t>
      </w:r>
    </w:p>
    <w:p>
      <w:pPr>
        <w:pStyle w:val="ListBullet"/>
        <w:spacing w:after="0" w:before="0"/>
      </w:pPr>
      <w:r>
        <w:rPr>
          <w:rFonts w:ascii="Calibri" w:hAnsi="Calibri"/>
          <w:b w:val="0"/>
          <w:color w:val="000000"/>
          <w:sz w:val="20"/>
        </w:rPr>
        <w:t>Overall, most narratives clearly identify the responsible body and describe the information flow, meeting the rule’s baseline expectations for completeness and clarity.</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One filer provides only management-level roles without identifying any Board or committee involvement, falling materially short of peer practice.</w:t>
      </w:r>
    </w:p>
    <w:p>
      <w:pPr>
        <w:pStyle w:val="ListBullet"/>
        <w:spacing w:after="0" w:before="0"/>
      </w:pPr>
      <w:r>
        <w:rPr>
          <w:rFonts w:ascii="Calibri" w:hAnsi="Calibri"/>
          <w:b w:val="0"/>
          <w:color w:val="000000"/>
          <w:sz w:val="20"/>
        </w:rPr>
        <w:t>One company explicitly states that the entire Board (rather than a committee) oversees cybersecurity, diverging from the committee-centric approach used by most peers.</w:t>
      </w:r>
    </w:p>
    <w:p>
      <w:pPr>
        <w:pStyle w:val="ListBullet"/>
        <w:spacing w:after="0" w:before="0"/>
      </w:pPr>
      <w:r>
        <w:rPr>
          <w:rFonts w:ascii="Calibri" w:hAnsi="Calibri"/>
          <w:b w:val="0"/>
          <w:color w:val="000000"/>
          <w:sz w:val="20"/>
        </w:rPr>
        <w:t>Reporting frequency varies widely: some entities rely on semi-annual briefings, while others receive monthly dashboards or convene special Board meetings upon a material incident.</w:t>
      </w:r>
    </w:p>
    <w:p>
      <w:pPr>
        <w:pStyle w:val="ListBullet"/>
        <w:spacing w:after="0" w:before="0"/>
      </w:pPr>
      <w:r>
        <w:rPr>
          <w:rFonts w:ascii="Calibri" w:hAnsi="Calibri"/>
          <w:b w:val="0"/>
          <w:color w:val="000000"/>
          <w:sz w:val="20"/>
        </w:rPr>
        <w:t>A single filer highlights the creation of a new Technology Committee effective next year, making it the only forward-looking governance change in the sample.</w:t>
      </w:r>
    </w:p>
    <w:p>
      <w:pPr>
        <w:pStyle w:val="ListBullet"/>
        <w:spacing w:after="0" w:before="0"/>
      </w:pPr>
      <w:r>
        <w:rPr>
          <w:rFonts w:ascii="Calibri" w:hAnsi="Calibri"/>
          <w:b w:val="0"/>
          <w:color w:val="000000"/>
          <w:sz w:val="20"/>
        </w:rPr>
        <w:t>Depth of disclosure ranges from concise statements to highly detailed descriptions that enumerate committee membership, officer credentials and incident-response escalation paths; the latter group stands out as positive outliers for substance.</w:t>
      </w:r>
    </w:p>
    <w:p>
      <w:pPr>
        <w:pStyle w:val="ListBullet"/>
        <w:spacing w:after="0" w:before="0"/>
      </w:pPr>
      <w:r>
        <w:rPr>
          <w:rFonts w:ascii="Calibri" w:hAnsi="Calibri"/>
          <w:b w:val="0"/>
          <w:color w:val="000000"/>
          <w:sz w:val="20"/>
        </w:rPr>
        <w:t>One registrant provides extensive information on its Incident Response Plan and committee responsibilities, markedly exceeding the detail level offered by peers.</w:t>
      </w:r>
    </w:p>
    <w:p/>
    <w:p>
      <w:pPr>
        <w:pStyle w:val="Heading2"/>
        <w:spacing w:after="0" w:before="0"/>
      </w:pPr>
      <w:r>
        <w:rPr>
          <w:rFonts w:ascii="Calibri Light" w:hAnsi="Calibri Light"/>
          <w:b w:val="0"/>
          <w:color w:val="000000"/>
          <w:sz w:val="24"/>
        </w:rPr>
        <w:t>229.106.c.2</w:t>
      </w:r>
    </w:p>
    <w:p>
      <w:pPr>
        <w:spacing w:after="160" w:before="0"/>
      </w:pPr>
      <w:r>
        <w:rPr>
          <w:rFonts w:ascii="Calibri" w:hAnsi="Calibri"/>
          <w:b w:val="0"/>
          <w:i/>
          <w:color w:val="000000"/>
          <w:sz w:val="20"/>
        </w:rPr>
        <w:t>Describe management's role in assessing and managing material risks from cybersecurity threats.</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Most filers identify a named senior executive, typically a Chief Information Security Officer, as the focal point for assessing and managing cybersecurity risk, often in tandem with the Chief Risk Officer and/or Chief Information Officer.</w:t>
      </w:r>
    </w:p>
    <w:p>
      <w:pPr>
        <w:pStyle w:val="ListBullet"/>
        <w:spacing w:after="0" w:before="0"/>
      </w:pPr>
      <w:r>
        <w:rPr>
          <w:rFonts w:ascii="Calibri" w:hAnsi="Calibri"/>
          <w:b w:val="0"/>
          <w:color w:val="000000"/>
          <w:sz w:val="20"/>
        </w:rPr>
        <w:t>Management‐level committees (e.g., Enterprise Risk Management, IT/Information Security Steering, Operational &amp; IT Risk) are commonly used to aggregate and escalate cybersecurity matters to the board or a board committee.</w:t>
      </w:r>
    </w:p>
    <w:p>
      <w:pPr>
        <w:pStyle w:val="ListBullet"/>
        <w:spacing w:after="0" w:before="0"/>
      </w:pPr>
      <w:r>
        <w:rPr>
          <w:rFonts w:ascii="Calibri" w:hAnsi="Calibri"/>
          <w:b w:val="0"/>
          <w:color w:val="000000"/>
          <w:sz w:val="20"/>
        </w:rPr>
        <w:t>Regular, structured board reporting is a prevailing practice; disclosures most often cite quarterly or annual updates, with several noting ad-hoc escalation for significant events.</w:t>
      </w:r>
    </w:p>
    <w:p>
      <w:pPr>
        <w:pStyle w:val="ListBullet"/>
        <w:spacing w:after="0" w:before="0"/>
      </w:pPr>
      <w:r>
        <w:rPr>
          <w:rFonts w:ascii="Calibri" w:hAnsi="Calibri"/>
          <w:b w:val="0"/>
          <w:color w:val="000000"/>
          <w:sz w:val="20"/>
        </w:rPr>
        <w:t>Firms stress cross-functional collaboration, highlighting intersections among risk, audit, technology and business leaders in the identification, mitigation and remediation of threats.</w:t>
      </w:r>
    </w:p>
    <w:p>
      <w:pPr>
        <w:pStyle w:val="ListBullet"/>
        <w:spacing w:after="0" w:before="0"/>
      </w:pPr>
      <w:r>
        <w:rPr>
          <w:rFonts w:ascii="Calibri" w:hAnsi="Calibri"/>
          <w:b w:val="0"/>
          <w:color w:val="000000"/>
          <w:sz w:val="20"/>
        </w:rPr>
        <w:t>Experience and professional certifications of cybersecurity leadership are increasingly referenced, supporting management’s asserted competence in overseeing material cyber risks.</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Disclosure depth diverges sharply: a few issuers provide multi-layer governance maps, reporting cadences and leadership credentials (robust: Metropolitan, Enterprise, S&amp;T), whereas others offer only one or two high-level sentences (sparse: Glacier, Middlefield, Ohio Valley, Farmers).</w:t>
      </w:r>
    </w:p>
    <w:p>
      <w:pPr>
        <w:pStyle w:val="ListBullet"/>
        <w:spacing w:after="0" w:before="0"/>
      </w:pPr>
      <w:r>
        <w:rPr>
          <w:rFonts w:ascii="Calibri" w:hAnsi="Calibri"/>
          <w:b w:val="0"/>
          <w:color w:val="000000"/>
          <w:sz w:val="20"/>
        </w:rPr>
        <w:t>Meeting cadence varies from monthly (Independent, Enterprise) to bi-annual (Middlefield) or left undefined, suggesting inconsistent rigor in active oversight.</w:t>
      </w:r>
    </w:p>
    <w:p>
      <w:pPr>
        <w:pStyle w:val="ListBullet"/>
        <w:spacing w:after="0" w:before="0"/>
      </w:pPr>
      <w:r>
        <w:rPr>
          <w:rFonts w:ascii="Calibri" w:hAnsi="Calibri"/>
          <w:b w:val="0"/>
          <w:color w:val="000000"/>
          <w:sz w:val="20"/>
        </w:rPr>
        <w:t>One filer (Middlefield) relies on a virtual, non-voting CISO, an uncommon governance structure that may signal reduced authority relative to peers.</w:t>
      </w:r>
    </w:p>
    <w:p>
      <w:pPr>
        <w:pStyle w:val="ListBullet"/>
        <w:spacing w:after="0" w:before="0"/>
      </w:pPr>
      <w:r>
        <w:rPr>
          <w:rFonts w:ascii="Calibri" w:hAnsi="Calibri"/>
          <w:b w:val="0"/>
          <w:color w:val="000000"/>
          <w:sz w:val="20"/>
        </w:rPr>
        <w:t>Enterprise Bancorp uniquely discloses a recent succession where the prior CISO became CRO and details extensive certifications for both roles—an unusually transparent and favorable depiction of expertise.</w:t>
      </w:r>
    </w:p>
    <w:p>
      <w:pPr>
        <w:pStyle w:val="ListBullet"/>
        <w:spacing w:after="0" w:before="0"/>
      </w:pPr>
      <w:r>
        <w:rPr>
          <w:rFonts w:ascii="Calibri" w:hAnsi="Calibri"/>
          <w:b w:val="0"/>
          <w:color w:val="000000"/>
          <w:sz w:val="20"/>
        </w:rPr>
        <w:t>Ohio Valley and Farmers focus largely on incident response or general cyber risk narrative, but give limited insight into day-to-day management oversight, indicating partial fulfillment of the rule’s intent.</w:t>
      </w:r>
    </w:p>
    <w:p>
      <w:pPr>
        <w:pStyle w:val="ListBullet"/>
        <w:spacing w:after="0" w:before="0"/>
      </w:pPr>
      <w:r>
        <w:rPr>
          <w:rFonts w:ascii="Calibri" w:hAnsi="Calibri"/>
          <w:b w:val="0"/>
          <w:color w:val="000000"/>
          <w:sz w:val="20"/>
        </w:rPr>
        <w:t>Trustco’s narrative concentrates on board-level committees without explicitly describing management’s operational responsibilities, leaving a notable gap against the requirement.</w:t>
      </w:r>
    </w:p>
    <w:p/>
    <w:p>
      <w:pPr>
        <w:pStyle w:val="Heading2"/>
        <w:spacing w:after="0" w:before="0"/>
      </w:pPr>
      <w:r>
        <w:rPr>
          <w:rFonts w:ascii="Calibri Light" w:hAnsi="Calibri Light"/>
          <w:b w:val="0"/>
          <w:color w:val="000000"/>
          <w:sz w:val="24"/>
        </w:rPr>
        <w:t>229.106.c.2.i</w:t>
      </w:r>
    </w:p>
    <w:p>
      <w:pPr>
        <w:spacing w:after="160" w:before="0"/>
      </w:pPr>
      <w:r>
        <w:rPr>
          <w:rFonts w:ascii="Calibri" w:hAnsi="Calibri"/>
          <w:b w:val="0"/>
          <w:i/>
          <w:color w:val="000000"/>
          <w:sz w:val="20"/>
        </w:rPr>
        <w:t>Whether and which management positions or committees are responsible, and relevant expertise.</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All filers affirmatively indicate that specific management roles or committees are charged with cybersecurity oversight (all “true” flags).</w:t>
      </w:r>
    </w:p>
    <w:p>
      <w:pPr>
        <w:pStyle w:val="ListBullet"/>
        <w:spacing w:after="0" w:before="0"/>
      </w:pPr>
      <w:r>
        <w:rPr>
          <w:rFonts w:ascii="Calibri" w:hAnsi="Calibri"/>
          <w:b w:val="0"/>
          <w:color w:val="000000"/>
          <w:sz w:val="20"/>
        </w:rPr>
        <w:t>A dedicated Chief Information Security Officer / Information Security Officer is universally identified as the primary day-to-day owner of the program.</w:t>
      </w:r>
    </w:p>
    <w:p>
      <w:pPr>
        <w:pStyle w:val="ListBullet"/>
        <w:spacing w:after="0" w:before="0"/>
      </w:pPr>
      <w:r>
        <w:rPr>
          <w:rFonts w:ascii="Calibri" w:hAnsi="Calibri"/>
          <w:b w:val="0"/>
          <w:color w:val="000000"/>
          <w:sz w:val="20"/>
        </w:rPr>
        <w:t>Most disclosures pair the CISO/ISO with risk and technology executives (CRO, CIO, COO) in a shared governance structure and note direct or dotted-line reporting to the CEO and/or Board-level committees.</w:t>
      </w:r>
    </w:p>
    <w:p>
      <w:pPr>
        <w:pStyle w:val="ListBullet"/>
        <w:spacing w:after="0" w:before="0"/>
      </w:pPr>
      <w:r>
        <w:rPr>
          <w:rFonts w:ascii="Calibri" w:hAnsi="Calibri"/>
          <w:b w:val="0"/>
          <w:color w:val="000000"/>
          <w:sz w:val="20"/>
        </w:rPr>
        <w:t>Board-facing committees (Risk Committee, Risk Oversight Committee, ERM Committee, Information Security Committee) are commonly cited, with reporting cadences ranging from quarterly to annually.</w:t>
      </w:r>
    </w:p>
    <w:p>
      <w:pPr>
        <w:pStyle w:val="ListBullet"/>
        <w:spacing w:after="0" w:before="0"/>
      </w:pPr>
      <w:r>
        <w:rPr>
          <w:rFonts w:ascii="Calibri" w:hAnsi="Calibri"/>
          <w:b w:val="0"/>
          <w:color w:val="000000"/>
          <w:sz w:val="20"/>
        </w:rPr>
        <w:t>Almost every filer highlights relevant experience through years in the field (generally 20+ years) and industry certifications (CISSP, CISM, GIAC, Network+, A+, Certified Bank Cybersecurity Manager).</w:t>
      </w:r>
    </w:p>
    <w:p>
      <w:pPr>
        <w:pStyle w:val="ListBullet"/>
        <w:spacing w:after="0" w:before="0"/>
      </w:pPr>
      <w:r>
        <w:rPr>
          <w:rFonts w:ascii="Calibri" w:hAnsi="Calibri"/>
          <w:b w:val="0"/>
          <w:color w:val="000000"/>
          <w:sz w:val="20"/>
        </w:rPr>
        <w:t>Several issuers stress cross-functional or inter-departmental teams (incident response teams, information security departments) that support the named executives.</w:t>
      </w:r>
    </w:p>
    <w:p>
      <w:pPr>
        <w:pStyle w:val="ListBullet"/>
        <w:spacing w:after="0" w:before="0"/>
      </w:pPr>
      <w:r>
        <w:rPr>
          <w:rFonts w:ascii="Calibri" w:hAnsi="Calibri"/>
          <w:b w:val="0"/>
          <w:color w:val="000000"/>
          <w:sz w:val="20"/>
        </w:rPr>
        <w:t>Disclosures generally describe both oversight structure and individual expertise, demonstrating baseline compliance with the rule.</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Depth of detail varies markedly: two issuers provide only a short paragraph on experience and scant governance detail, while others outline reporting lines, meeting frequencies, and Board engagement in multiple paragraphs.</w:t>
      </w:r>
    </w:p>
    <w:p>
      <w:pPr>
        <w:pStyle w:val="ListBullet"/>
        <w:spacing w:after="0" w:before="0"/>
      </w:pPr>
      <w:r>
        <w:rPr>
          <w:rFonts w:ascii="Calibri" w:hAnsi="Calibri"/>
          <w:b w:val="0"/>
          <w:color w:val="000000"/>
          <w:sz w:val="20"/>
        </w:rPr>
        <w:t>One filer sets the positions/committees flag to “true” but leaves the narrative text block blank, creating a notable disclosure gap despite briefly mentioning governance in the expertise section.</w:t>
      </w:r>
    </w:p>
    <w:p>
      <w:pPr>
        <w:pStyle w:val="ListBullet"/>
        <w:spacing w:after="0" w:before="0"/>
      </w:pPr>
      <w:r>
        <w:rPr>
          <w:rFonts w:ascii="Calibri" w:hAnsi="Calibri"/>
          <w:b w:val="0"/>
          <w:color w:val="000000"/>
          <w:sz w:val="20"/>
        </w:rPr>
        <w:t>Glacier and S&amp;T present the most comprehensive structures, including explicit Board approval of cybersecurity policies, key risk indicators, and multiple senior managers with defined responsibilities—positive outliers for substance and clarity.</w:t>
      </w:r>
    </w:p>
    <w:p>
      <w:pPr>
        <w:pStyle w:val="ListBullet"/>
        <w:spacing w:after="0" w:before="0"/>
      </w:pPr>
      <w:r>
        <w:rPr>
          <w:rFonts w:ascii="Calibri" w:hAnsi="Calibri"/>
          <w:b w:val="0"/>
          <w:color w:val="000000"/>
          <w:sz w:val="20"/>
        </w:rPr>
        <w:t>A single registrant relies on an outsourced, "virtual" CISO reporting to the CRO—an uncommon model relative to peers that maintain in-house CISOs.</w:t>
      </w:r>
    </w:p>
    <w:p>
      <w:pPr>
        <w:pStyle w:val="ListBullet"/>
        <w:spacing w:after="0" w:before="0"/>
      </w:pPr>
      <w:r>
        <w:rPr>
          <w:rFonts w:ascii="Calibri" w:hAnsi="Calibri"/>
          <w:b w:val="0"/>
          <w:color w:val="000000"/>
          <w:sz w:val="20"/>
        </w:rPr>
        <w:t>Certifications disclosed differ in breadth: some list multiple industry-recognized credentials, while a few mention only general IT certifications or none at all.</w:t>
      </w:r>
    </w:p>
    <w:p>
      <w:pPr>
        <w:pStyle w:val="ListBullet"/>
        <w:spacing w:after="0" w:before="0"/>
      </w:pPr>
      <w:r>
        <w:rPr>
          <w:rFonts w:ascii="Calibri" w:hAnsi="Calibri"/>
          <w:b w:val="0"/>
          <w:color w:val="000000"/>
          <w:sz w:val="20"/>
        </w:rPr>
        <w:t>Committee nomenclature and meeting cadence are not uniform—some filers reference monthly Information Security Committees, others quarterly ERM or Risk Committees, and one relies primarily on an Incident Response Team—illustrating differing maturity levels in formal governance frameworks.</w:t>
      </w:r>
    </w:p>
    <w:p/>
    <w:p>
      <w:pPr>
        <w:pStyle w:val="Heading2"/>
        <w:spacing w:after="0" w:before="0"/>
      </w:pPr>
      <w:r>
        <w:rPr>
          <w:rFonts w:ascii="Calibri Light" w:hAnsi="Calibri Light"/>
          <w:b w:val="0"/>
          <w:color w:val="000000"/>
          <w:sz w:val="24"/>
        </w:rPr>
        <w:t>229.106.c.2.ii</w:t>
      </w:r>
    </w:p>
    <w:p>
      <w:pPr>
        <w:spacing w:after="160" w:before="0"/>
      </w:pPr>
      <w:r>
        <w:rPr>
          <w:rFonts w:ascii="Calibri" w:hAnsi="Calibri"/>
          <w:b w:val="0"/>
          <w:i/>
          <w:color w:val="000000"/>
          <w:sz w:val="20"/>
        </w:rPr>
        <w:t>The processes by which such persons or committees are informed about and monitor the prevention, detection, mitigation, and remediation of cybersecurity incidents.</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Most filers describe a formal reporting chain in which designated cyber leaders (frequently the CISO, CRO or ISO) brief a standing board-level or senior management committee.</w:t>
      </w:r>
    </w:p>
    <w:p>
      <w:pPr>
        <w:pStyle w:val="ListBullet"/>
        <w:spacing w:after="0" w:before="0"/>
      </w:pPr>
      <w:r>
        <w:rPr>
          <w:rFonts w:ascii="Calibri" w:hAnsi="Calibri"/>
          <w:b w:val="0"/>
          <w:color w:val="000000"/>
          <w:sz w:val="20"/>
        </w:rPr>
        <w:t>Regular cadence of reporting is prevalent; disclosures most often cite quarterly or monthly updates, with some noting “as needed” escalation for material events.</w:t>
      </w:r>
    </w:p>
    <w:p>
      <w:pPr>
        <w:pStyle w:val="ListBullet"/>
        <w:spacing w:after="0" w:before="0"/>
      </w:pPr>
      <w:r>
        <w:rPr>
          <w:rFonts w:ascii="Calibri" w:hAnsi="Calibri"/>
          <w:b w:val="0"/>
          <w:color w:val="000000"/>
          <w:sz w:val="20"/>
        </w:rPr>
        <w:t>Use of multi-disciplinary committees is common (e.g., Information Security Committee, IT Steering Committee, Enterprise Risk Management Committee), signalling cross-functional oversight.</w:t>
      </w:r>
    </w:p>
    <w:p>
      <w:pPr>
        <w:pStyle w:val="ListBullet"/>
        <w:spacing w:after="0" w:before="0"/>
      </w:pPr>
      <w:r>
        <w:rPr>
          <w:rFonts w:ascii="Calibri" w:hAnsi="Calibri"/>
          <w:b w:val="0"/>
          <w:color w:val="000000"/>
          <w:sz w:val="20"/>
        </w:rPr>
        <w:t>Several entities pair qualitative reporting with continuous technical monitoring, third-party audits or vulnerability assessments, reflecting an integrated technical–governance approach.</w:t>
      </w:r>
    </w:p>
    <w:p>
      <w:pPr>
        <w:pStyle w:val="ListBullet"/>
        <w:spacing w:after="0" w:before="0"/>
      </w:pPr>
      <w:r>
        <w:rPr>
          <w:rFonts w:ascii="Calibri" w:hAnsi="Calibri"/>
          <w:b w:val="0"/>
          <w:color w:val="000000"/>
          <w:sz w:val="20"/>
        </w:rPr>
        <w:t>Language consistently links reporting to the four life-cycle stages (prevention, detection, mitigation, remediation), indicating general alignment with the rule’s focus.</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Depth varies markedly: a few issuers (e.g., those specifying board updates at every meeting or detailing dual-layer committees and monthly metrics) provide granular frequency, content and escalation triggers, whereas others supply only high-level statements or lists of security tools with little governance context.</w:t>
      </w:r>
    </w:p>
    <w:p>
      <w:pPr>
        <w:pStyle w:val="ListBullet"/>
        <w:spacing w:after="0" w:before="0"/>
      </w:pPr>
      <w:r>
        <w:rPr>
          <w:rFonts w:ascii="Calibri" w:hAnsi="Calibri"/>
          <w:b w:val="0"/>
          <w:color w:val="000000"/>
          <w:sz w:val="20"/>
        </w:rPr>
        <w:t>Two disclosures lean heavily on technical controls (continuous monitoring, preventative tools) but give minimal insight into how management or committees are actually informed, illustrating partial compliance.</w:t>
      </w:r>
    </w:p>
    <w:p>
      <w:pPr>
        <w:pStyle w:val="ListBullet"/>
        <w:spacing w:after="0" w:before="0"/>
      </w:pPr>
      <w:r>
        <w:rPr>
          <w:rFonts w:ascii="Calibri" w:hAnsi="Calibri"/>
          <w:b w:val="0"/>
          <w:color w:val="000000"/>
          <w:sz w:val="20"/>
        </w:rPr>
        <w:t>One filer discloses a comprehensive Incident Response Plan and explicit Board notification criteria, standing out for operational specificity.</w:t>
      </w:r>
    </w:p>
    <w:p>
      <w:pPr>
        <w:pStyle w:val="ListBullet"/>
        <w:spacing w:after="0" w:before="0"/>
      </w:pPr>
      <w:r>
        <w:rPr>
          <w:rFonts w:ascii="Calibri" w:hAnsi="Calibri"/>
          <w:b w:val="0"/>
          <w:color w:val="000000"/>
          <w:sz w:val="20"/>
        </w:rPr>
        <w:t>Conversely, another filer offers a single sentence focused on the CRO’s experience, lacking any description of information flow—an outlier for insufficient substance.</w:t>
      </w:r>
    </w:p>
    <w:p>
      <w:pPr>
        <w:pStyle w:val="ListBullet"/>
        <w:spacing w:after="0" w:before="0"/>
      </w:pPr>
      <w:r>
        <w:rPr>
          <w:rFonts w:ascii="Calibri" w:hAnsi="Calibri"/>
          <w:b w:val="0"/>
          <w:color w:val="000000"/>
          <w:sz w:val="20"/>
        </w:rPr>
        <w:t>Reporting cadence ranges from every board meeting (highest frequency) to unspecified/“as needed,” highlighting inconsistency in formality and rigor across the peer set.</w:t>
      </w:r>
    </w:p>
    <w:p/>
    <w:p>
      <w:pPr>
        <w:pStyle w:val="Heading2"/>
        <w:spacing w:after="0" w:before="0"/>
      </w:pPr>
      <w:r>
        <w:rPr>
          <w:rFonts w:ascii="Calibri Light" w:hAnsi="Calibri Light"/>
          <w:b w:val="0"/>
          <w:color w:val="000000"/>
          <w:sz w:val="24"/>
        </w:rPr>
        <w:t>229.106.c.2.iii</w:t>
      </w:r>
    </w:p>
    <w:p>
      <w:pPr>
        <w:spacing w:after="160" w:before="0"/>
      </w:pPr>
      <w:r>
        <w:rPr>
          <w:rFonts w:ascii="Calibri" w:hAnsi="Calibri"/>
          <w:b w:val="0"/>
          <w:i/>
          <w:color w:val="000000"/>
          <w:sz w:val="20"/>
        </w:rPr>
        <w:t>Whether such persons or committees report information about such risks to the board of directors or a committee or subcommittee of the board of directors.</w:t>
      </w:r>
    </w:p>
    <w:p>
      <w:pPr>
        <w:pStyle w:val="Heading3"/>
        <w:spacing w:after="0" w:before="0"/>
      </w:pPr>
      <w:r>
        <w:rPr>
          <w:rFonts w:ascii="Calibri Light" w:hAnsi="Calibri Light"/>
          <w:b w:val="0"/>
          <w:color w:val="000000"/>
          <w:sz w:val="24"/>
        </w:rPr>
        <w:t>Key trends and commonalities</w:t>
      </w:r>
    </w:p>
    <w:p>
      <w:pPr>
        <w:pStyle w:val="ListBullet"/>
        <w:spacing w:after="0" w:before="0"/>
      </w:pPr>
      <w:r>
        <w:rPr>
          <w:rFonts w:ascii="Calibri" w:hAnsi="Calibri"/>
          <w:b w:val="0"/>
          <w:color w:val="000000"/>
          <w:sz w:val="20"/>
        </w:rPr>
        <w:t>All sampled entities (9 of 9) affirm that individuals or committees responsible for cybersecurity risk management report to the board of directors or a board-level committee.</w:t>
      </w:r>
    </w:p>
    <w:p>
      <w:pPr>
        <w:pStyle w:val="ListBullet"/>
        <w:spacing w:after="0" w:before="0"/>
      </w:pPr>
      <w:r>
        <w:rPr>
          <w:rFonts w:ascii="Calibri" w:hAnsi="Calibri"/>
          <w:b w:val="0"/>
          <w:color w:val="000000"/>
          <w:sz w:val="20"/>
        </w:rPr>
        <w:t>Disclosures are provided solely through a boolean flag with no qualitative elaboration; therefore, the information is uniformly clear but highly abbreviated.</w:t>
      </w:r>
    </w:p>
    <w:p>
      <w:pPr>
        <w:pStyle w:val="ListBullet"/>
        <w:spacing w:after="0" w:before="0"/>
      </w:pPr>
      <w:r>
        <w:rPr>
          <w:rFonts w:ascii="Calibri" w:hAnsi="Calibri"/>
          <w:b w:val="0"/>
          <w:color w:val="000000"/>
          <w:sz w:val="20"/>
        </w:rPr>
        <w:t>The binary response ensures completeness with respect to the minimum requirement, yet offers limited insight into reporting cadence, content, or escalation protocols.</w:t>
      </w:r>
    </w:p>
    <w:p>
      <w:pPr>
        <w:spacing w:after="80"/>
      </w:pPr>
    </w:p>
    <w:p>
      <w:pPr>
        <w:pStyle w:val="Heading3"/>
        <w:spacing w:after="0" w:before="0"/>
      </w:pPr>
      <w:r>
        <w:rPr>
          <w:rFonts w:ascii="Calibri Light" w:hAnsi="Calibri Light"/>
          <w:b w:val="0"/>
          <w:color w:val="000000"/>
          <w:sz w:val="24"/>
        </w:rPr>
        <w:t>Key differences and notable outliers</w:t>
      </w:r>
    </w:p>
    <w:p>
      <w:pPr>
        <w:pStyle w:val="ListBullet"/>
        <w:spacing w:after="0" w:before="0"/>
      </w:pPr>
      <w:r>
        <w:rPr>
          <w:rFonts w:ascii="Calibri" w:hAnsi="Calibri"/>
          <w:b w:val="0"/>
          <w:color w:val="000000"/>
          <w:sz w:val="20"/>
        </w:rPr>
        <w:t>No entity deviates from the prevailing “true” response; there are no negative or partial disclosures to compare.</w:t>
      </w:r>
    </w:p>
    <w:p>
      <w:pPr>
        <w:pStyle w:val="ListBullet"/>
        <w:spacing w:after="0" w:before="0"/>
      </w:pPr>
      <w:r>
        <w:rPr>
          <w:rFonts w:ascii="Calibri" w:hAnsi="Calibri"/>
          <w:b w:val="0"/>
          <w:color w:val="000000"/>
          <w:sz w:val="20"/>
        </w:rPr>
        <w:t>Because all entities rely on the same terse checkbox-style disclosure, differentiation in depth, clarity, or substance is effectively absent. The dataset therefore contains no positive or negative outliers.</w:t>
      </w:r>
    </w:p>
    <w:p/>
    <w:p>
      <w:r>
        <w:br w:type="page"/>
      </w:r>
    </w:p>
    <w:p>
      <w:pPr>
        <w:pStyle w:val="Heading1"/>
        <w:spacing w:after="240"/>
      </w:pPr>
      <w:r>
        <w:rPr>
          <w:rFonts w:ascii="Calibri Light" w:hAnsi="Calibri Light"/>
          <w:b/>
          <w:color w:val="000000"/>
          <w:sz w:val="28"/>
        </w:rPr>
        <w:t>Appendix 1 – Entities in scope of the analysis</w:t>
      </w:r>
    </w:p>
    <w:p>
      <w:pPr>
        <w:spacing w:after="0" w:before="0"/>
      </w:pPr>
      <w:r>
        <w:rPr>
          <w:rFonts w:ascii="Calibri" w:hAnsi="Calibri"/>
          <w:b w:val="0"/>
          <w:color w:val="000000"/>
          <w:sz w:val="20"/>
        </w:rPr>
        <w:t>Enterprise Bancorp, Inc.</w:t>
      </w:r>
    </w:p>
    <w:p>
      <w:pPr>
        <w:spacing w:after="0" w:before="0"/>
      </w:pPr>
      <w:r>
        <w:rPr>
          <w:rFonts w:ascii="Calibri" w:hAnsi="Calibri"/>
          <w:b w:val="0"/>
          <w:color w:val="000000"/>
          <w:sz w:val="20"/>
        </w:rPr>
        <w:t>Farmers National Banc Corp.</w:t>
      </w:r>
    </w:p>
    <w:p>
      <w:pPr>
        <w:spacing w:after="0" w:before="0"/>
      </w:pPr>
      <w:r>
        <w:rPr>
          <w:rFonts w:ascii="Calibri" w:hAnsi="Calibri"/>
          <w:b w:val="0"/>
          <w:color w:val="000000"/>
          <w:sz w:val="20"/>
        </w:rPr>
        <w:t>GLACIER BANCORP, INC.</w:t>
      </w:r>
    </w:p>
    <w:p>
      <w:pPr>
        <w:spacing w:after="0" w:before="0"/>
      </w:pPr>
      <w:r>
        <w:rPr>
          <w:rFonts w:ascii="Calibri" w:hAnsi="Calibri"/>
          <w:b w:val="0"/>
          <w:color w:val="000000"/>
          <w:sz w:val="20"/>
        </w:rPr>
        <w:t>INDEPENDENT BANK CORPORATION</w:t>
      </w:r>
    </w:p>
    <w:p>
      <w:pPr>
        <w:spacing w:after="0" w:before="0"/>
      </w:pPr>
      <w:r>
        <w:rPr>
          <w:rFonts w:ascii="Calibri" w:hAnsi="Calibri"/>
          <w:b w:val="0"/>
          <w:color w:val="000000"/>
          <w:sz w:val="20"/>
        </w:rPr>
        <w:t>METROPOLITAN BANK HOLDING CORP.</w:t>
      </w:r>
    </w:p>
    <w:p>
      <w:pPr>
        <w:spacing w:after="0" w:before="0"/>
      </w:pPr>
      <w:r>
        <w:rPr>
          <w:rFonts w:ascii="Calibri" w:hAnsi="Calibri"/>
          <w:b w:val="0"/>
          <w:color w:val="000000"/>
          <w:sz w:val="20"/>
        </w:rPr>
        <w:t>Middlefield Banc Corp.</w:t>
      </w:r>
    </w:p>
    <w:p>
      <w:pPr>
        <w:spacing w:after="0" w:before="0"/>
      </w:pPr>
      <w:r>
        <w:rPr>
          <w:rFonts w:ascii="Calibri" w:hAnsi="Calibri"/>
          <w:b w:val="0"/>
          <w:color w:val="000000"/>
          <w:sz w:val="20"/>
        </w:rPr>
        <w:t>OHIO VALLEY BANC CORP</w:t>
      </w:r>
    </w:p>
    <w:p>
      <w:pPr>
        <w:spacing w:after="0" w:before="0"/>
      </w:pPr>
      <w:r>
        <w:rPr>
          <w:rFonts w:ascii="Calibri" w:hAnsi="Calibri"/>
          <w:b w:val="0"/>
          <w:color w:val="000000"/>
          <w:sz w:val="20"/>
        </w:rPr>
        <w:t>S&amp;T BANCORP, INC.</w:t>
      </w:r>
    </w:p>
    <w:p>
      <w:pPr>
        <w:spacing w:after="0" w:before="0"/>
      </w:pPr>
      <w:r>
        <w:rPr>
          <w:rFonts w:ascii="Calibri" w:hAnsi="Calibri"/>
          <w:b w:val="0"/>
          <w:color w:val="000000"/>
          <w:sz w:val="20"/>
        </w:rPr>
        <w:t>TEXAS CAPITAL BANCSHARES INC/TX</w:t>
      </w:r>
    </w:p>
    <w:p>
      <w:pPr>
        <w:spacing w:after="0" w:before="0"/>
      </w:pPr>
      <w:r>
        <w:rPr>
          <w:rFonts w:ascii="Calibri" w:hAnsi="Calibri"/>
          <w:b w:val="0"/>
          <w:color w:val="000000"/>
          <w:sz w:val="20"/>
        </w:rPr>
        <w:t>TRUSTCO BANK CORP NY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before="0"/>
    </w:pPr>
    <w:r>
      <w:rPr>
        <w:rFonts w:ascii="Calibri" w:hAnsi="Calibri"/>
        <w:b w:val="0"/>
        <w:color w:val="000000"/>
        <w:sz w:val="16"/>
      </w:rPr>
      <w:t>Disclaimer: This output was created through the application of generative AI. Please validate accuracy and completeness before using it for decision-making.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