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Policy</w:t>
      </w:r>
    </w:p>
    <w:p>
      <w:r>
        <w:t>Employees are entitled to 12 casual leave days per year.</w:t>
      </w:r>
    </w:p>
    <w:p>
      <w:r>
        <w:t>Sick leave is available for medical reasons and may require documentation if it exceeds 3 consecutive days.</w:t>
      </w:r>
    </w:p>
    <w:p>
      <w:r>
        <w:t>Maternity leave is available for eligible employees as per company policy and applicable labor regulations.</w:t>
      </w:r>
    </w:p>
    <w:p>
      <w:r>
        <w:t>Employees should apply for planned leave at least 7 days in advance.</w:t>
      </w:r>
    </w:p>
    <w:p>
      <w:r>
        <w:t>Remote work may be approved by the reporting manager depending on business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