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0000"/>
          <w:sz w:val="58"/>
        </w:rPr>
        <w:t>Rehan A. Minhas</w:t>
      </w:r>
    </w:p>
    <w:p>
      <w:pPr>
        <w:jc w:val="center"/>
      </w:pPr>
      <w:r>
        <w:rPr>
          <w:rFonts w:ascii="Calibri" w:hAnsi="Calibri"/>
          <w:b w:val="0"/>
          <w:color w:val="000000"/>
          <w:sz w:val="22"/>
        </w:rPr>
        <w:t>Edgware, Middlesex | 07443 524 686 | rehan.minhas@hotmail.co.uk</w:t>
      </w:r>
    </w:p>
    <w:p>
      <w:r>
        <w:rPr>
          <w:rFonts w:ascii="Calibri" w:hAnsi="Calibri"/>
          <w:b/>
          <w:color w:val="000000"/>
          <w:sz w:val="36"/>
        </w:rPr>
        <w:t>Personal Profile</w:t>
      </w:r>
    </w:p>
    <w:p>
      <w:r>
        <w:rPr>
          <w:rFonts w:ascii="Calibri" w:hAnsi="Calibri"/>
          <w:b w:val="0"/>
          <w:color w:val="000000"/>
          <w:sz w:val="22"/>
        </w:rPr>
        <w:t>Authoritative Strategic Scientist with extensive expertise at NIBSC/MHRA, specialising in IVD standardisation and Infectious Disease Diagnostics (PCR and ELISA). Proven leader in collaborating with EQA providers and architecting characterisation, quantitation, and stability assays for diverse pathogens. Seeking to leverage this premier technical foundation and operational familiarity with UKHSA to deliver immediate impact as a Healthcare Scientist.</w:t>
      </w:r>
    </w:p>
    <w:p>
      <w:r>
        <w:rPr>
          <w:rFonts w:ascii="Calibri" w:hAnsi="Calibri"/>
          <w:b/>
          <w:color w:val="000000"/>
          <w:sz w:val="36"/>
        </w:rPr>
        <w:t>Core Competencies</w:t>
      </w:r>
    </w:p>
    <w:p>
      <w:pPr>
        <w:pStyle w:val="ListBullet"/>
      </w:pPr>
      <w:r>
        <w:rPr>
          <w:rFonts w:ascii="Calibri" w:hAnsi="Calibri"/>
          <w:b w:val="0"/>
          <w:color w:val="000000"/>
          <w:sz w:val="22"/>
        </w:rPr>
        <w:t>IVD Assay Standardisation &amp; Market Knowledge</w:t>
      </w:r>
    </w:p>
    <w:p>
      <w:pPr>
        <w:pStyle w:val="ListBullet"/>
      </w:pPr>
      <w:r>
        <w:rPr>
          <w:rFonts w:ascii="Calibri" w:hAnsi="Calibri"/>
          <w:b w:val="0"/>
          <w:color w:val="000000"/>
          <w:sz w:val="22"/>
        </w:rPr>
        <w:t>Infectious Disease Diagnostics (PCR, RT-qPCR, ddPCR, ELISA, IFA)</w:t>
      </w:r>
    </w:p>
    <w:p>
      <w:pPr>
        <w:pStyle w:val="ListBullet"/>
      </w:pPr>
      <w:r>
        <w:rPr>
          <w:rFonts w:ascii="Calibri" w:hAnsi="Calibri"/>
          <w:b w:val="0"/>
          <w:color w:val="000000"/>
          <w:sz w:val="22"/>
        </w:rPr>
        <w:t>Pathogen Assay Development (Characterisation, Quantitation, Stability)</w:t>
      </w:r>
    </w:p>
    <w:p>
      <w:pPr>
        <w:pStyle w:val="ListBullet"/>
      </w:pPr>
      <w:r>
        <w:rPr>
          <w:rFonts w:ascii="Calibri" w:hAnsi="Calibri"/>
          <w:b w:val="0"/>
          <w:color w:val="000000"/>
          <w:sz w:val="22"/>
        </w:rPr>
        <w:t>External Quality Assessment (EQA) Collaboration</w:t>
      </w:r>
    </w:p>
    <w:p>
      <w:pPr>
        <w:pStyle w:val="ListBullet"/>
      </w:pPr>
      <w:r>
        <w:rPr>
          <w:rFonts w:ascii="Calibri" w:hAnsi="Calibri"/>
          <w:b w:val="0"/>
          <w:color w:val="000000"/>
          <w:sz w:val="22"/>
        </w:rPr>
        <w:t>Industrial GMP biomanufacturing &amp; Downstream Processing (AKTA)</w:t>
      </w:r>
    </w:p>
    <w:p>
      <w:pPr>
        <w:pStyle w:val="ListBullet"/>
      </w:pPr>
      <w:r>
        <w:rPr>
          <w:rFonts w:ascii="Calibri" w:hAnsi="Calibri"/>
          <w:b w:val="0"/>
          <w:color w:val="000000"/>
          <w:sz w:val="22"/>
        </w:rPr>
        <w:t>Regulatory Compliance (ISO 13485, IVDR, FDA, ALCOA+, MHRA Annex 6)</w:t>
      </w:r>
    </w:p>
    <w:p>
      <w:r>
        <w:rPr>
          <w:rFonts w:ascii="Calibri" w:hAnsi="Calibri"/>
          <w:b/>
          <w:color w:val="000000"/>
          <w:sz w:val="36"/>
        </w:rPr>
        <w:t>Professional Experience</w:t>
      </w:r>
    </w:p>
    <w:p>
      <w:r>
        <w:rPr>
          <w:rFonts w:ascii="Calibri" w:hAnsi="Calibri"/>
          <w:b/>
          <w:color w:val="000000"/>
          <w:sz w:val="22"/>
        </w:rPr>
        <w:t>Biotechnologist 1 | Lonza Biologics PLC, Slough</w:t>
      </w:r>
    </w:p>
    <w:p>
      <w:r>
        <w:rPr>
          <w:rFonts w:ascii="Calibri" w:hAnsi="Calibri"/>
          <w:b w:val="0"/>
          <w:color w:val="000000"/>
          <w:sz w:val="22"/>
        </w:rPr>
        <w:t>July 2025 – Jan 2026</w:t>
      </w:r>
    </w:p>
    <w:p>
      <w:pPr>
        <w:pStyle w:val="ListBullet"/>
      </w:pPr>
      <w:r>
        <w:rPr>
          <w:rFonts w:ascii="Calibri" w:hAnsi="Calibri"/>
          <w:b w:val="0"/>
          <w:color w:val="000000"/>
          <w:sz w:val="22"/>
        </w:rPr>
        <w:t>Operated AKTA chromatography systems and Sartorius columns for complex downstream bioprocessing (IPF, VRF, UF/DF).</w:t>
      </w:r>
    </w:p>
    <w:p>
      <w:pPr>
        <w:pStyle w:val="ListBullet"/>
      </w:pPr>
      <w:r>
        <w:rPr>
          <w:rFonts w:ascii="Calibri" w:hAnsi="Calibri"/>
          <w:b w:val="0"/>
          <w:color w:val="000000"/>
          <w:sz w:val="22"/>
        </w:rPr>
        <w:t>Maintained ALCOA+ GMP batch records and supported CAPA investigations in high-fidelity clean-rooms.</w:t>
      </w:r>
    </w:p>
    <w:p>
      <w:pPr>
        <w:pStyle w:val="ListBullet"/>
      </w:pPr>
      <w:r>
        <w:rPr>
          <w:rFonts w:ascii="Calibri" w:hAnsi="Calibri"/>
          <w:b w:val="0"/>
          <w:color w:val="000000"/>
          <w:sz w:val="22"/>
        </w:rPr>
        <w:t>Executed local process improvements enhancing buffer preparation efficiency and compliance safety.</w:t>
      </w:r>
    </w:p>
    <w:p>
      <w:r>
        <w:rPr>
          <w:rFonts w:ascii="Calibri" w:hAnsi="Calibri"/>
          <w:b/>
          <w:color w:val="000000"/>
          <w:sz w:val="22"/>
        </w:rPr>
        <w:t>Senior Laboratory Scientist | Anthony Nolan Research Institute</w:t>
      </w:r>
    </w:p>
    <w:p>
      <w:r>
        <w:rPr>
          <w:rFonts w:ascii="Calibri" w:hAnsi="Calibri"/>
          <w:b w:val="0"/>
          <w:color w:val="000000"/>
          <w:sz w:val="22"/>
        </w:rPr>
        <w:t>Aug 2023 – Feb 2024</w:t>
      </w:r>
    </w:p>
    <w:p>
      <w:pPr>
        <w:pStyle w:val="ListBullet"/>
      </w:pPr>
      <w:r>
        <w:rPr>
          <w:rFonts w:ascii="Calibri" w:hAnsi="Calibri"/>
          <w:b w:val="0"/>
          <w:color w:val="000000"/>
          <w:sz w:val="22"/>
        </w:rPr>
        <w:t>Optimized ABO blood-group testing on the Immunocor Echo platform, reducing error rates by 66%.</w:t>
      </w:r>
    </w:p>
    <w:p>
      <w:pPr>
        <w:pStyle w:val="ListBullet"/>
      </w:pPr>
      <w:r>
        <w:rPr>
          <w:rFonts w:ascii="Calibri" w:hAnsi="Calibri"/>
          <w:b w:val="0"/>
          <w:color w:val="000000"/>
          <w:sz w:val="22"/>
        </w:rPr>
        <w:t>Led implementation of the Diasorin Liaison XL chemiluminescent ELISA analyser for viral screening.</w:t>
      </w:r>
    </w:p>
    <w:p>
      <w:pPr>
        <w:pStyle w:val="ListBullet"/>
      </w:pPr>
      <w:r>
        <w:rPr>
          <w:rFonts w:ascii="Calibri" w:hAnsi="Calibri"/>
          <w:b w:val="0"/>
          <w:color w:val="000000"/>
          <w:sz w:val="22"/>
        </w:rPr>
        <w:t>Delivered zero major findings in the 2024 UKAS audit via comprehensive protocol standardization.</w:t>
      </w:r>
    </w:p>
    <w:p>
      <w:r>
        <w:rPr>
          <w:rFonts w:ascii="Calibri" w:hAnsi="Calibri"/>
          <w:b/>
          <w:color w:val="000000"/>
          <w:sz w:val="22"/>
        </w:rPr>
        <w:t>Scientist (HEO), Infectious Disease Diagnostics | NIBSC (MHRA)</w:t>
      </w:r>
    </w:p>
    <w:p>
      <w:r>
        <w:rPr>
          <w:rFonts w:ascii="Calibri" w:hAnsi="Calibri"/>
          <w:b w:val="0"/>
          <w:color w:val="000000"/>
          <w:sz w:val="22"/>
        </w:rPr>
        <w:t>Mar 2013 – Aug 2022</w:t>
      </w:r>
    </w:p>
    <w:p>
      <w:pPr>
        <w:pStyle w:val="ListBullet"/>
      </w:pPr>
      <w:r>
        <w:rPr>
          <w:rFonts w:ascii="Calibri" w:hAnsi="Calibri"/>
          <w:b w:val="0"/>
          <w:color w:val="000000"/>
          <w:sz w:val="22"/>
        </w:rPr>
        <w:t>Spearheaded the design and validation of characterisation, quantitation, and stability assays for numerous high-priority pathogens within the Infectious Disease Diagnostics team.</w:t>
      </w:r>
    </w:p>
    <w:p>
      <w:pPr>
        <w:pStyle w:val="ListBullet"/>
      </w:pPr>
      <w:r>
        <w:rPr>
          <w:rFonts w:ascii="Calibri" w:hAnsi="Calibri"/>
          <w:b w:val="0"/>
          <w:color w:val="000000"/>
          <w:sz w:val="22"/>
        </w:rPr>
        <w:t>Expertly utilized a vast array of market IVD assays and in-house diagnostics, employing both PCR and ELISA platforms to establish primary WHO international standards.</w:t>
      </w:r>
    </w:p>
    <w:p>
      <w:pPr>
        <w:pStyle w:val="ListBullet"/>
      </w:pPr>
      <w:r>
        <w:rPr>
          <w:rFonts w:ascii="Calibri" w:hAnsi="Calibri"/>
          <w:b w:val="0"/>
          <w:color w:val="000000"/>
          <w:sz w:val="22"/>
        </w:rPr>
        <w:t>Collaborated extensively with External Quality Assessment (EQA) providers to harmonize global diagnostic results, coordinating studies with 32 institutions across 24 countries.</w:t>
      </w:r>
    </w:p>
    <w:p>
      <w:pPr>
        <w:pStyle w:val="ListBullet"/>
      </w:pPr>
      <w:r>
        <w:rPr>
          <w:rFonts w:ascii="Calibri" w:hAnsi="Calibri"/>
          <w:b w:val="0"/>
          <w:color w:val="000000"/>
          <w:sz w:val="22"/>
        </w:rPr>
        <w:t>Managed end-to-end production of CE-marked IVDs under ISO 13485/GMP, co-authoring four definitive WHO Technical Reports.</w:t>
      </w:r>
    </w:p>
    <w:p>
      <w:pPr>
        <w:pStyle w:val="ListBullet"/>
      </w:pPr>
      <w:r>
        <w:rPr>
          <w:rFonts w:ascii="Calibri" w:hAnsi="Calibri"/>
          <w:b w:val="0"/>
          <w:color w:val="000000"/>
          <w:sz w:val="22"/>
        </w:rPr>
        <w:t>Architected the refurbishment of SAPO4 Schedule 5-compliant CL3 laboratories for West Nile Virus standard production.</w:t>
      </w:r>
    </w:p>
    <w:p>
      <w:r>
        <w:rPr>
          <w:rFonts w:ascii="Calibri" w:hAnsi="Calibri"/>
          <w:b/>
          <w:color w:val="000000"/>
          <w:sz w:val="22"/>
        </w:rPr>
        <w:t>Healthcare Scientist Practitioner | UKHSA (Colindale)</w:t>
      </w:r>
    </w:p>
    <w:p>
      <w:r>
        <w:rPr>
          <w:rFonts w:ascii="Calibri" w:hAnsi="Calibri"/>
          <w:b w:val="0"/>
          <w:color w:val="000000"/>
          <w:sz w:val="22"/>
        </w:rPr>
        <w:t>Jan 2010 – Jan 2011</w:t>
      </w:r>
    </w:p>
    <w:p>
      <w:pPr>
        <w:pStyle w:val="ListBullet"/>
      </w:pPr>
      <w:r>
        <w:t>Delivered high-volume RT-qPCR diagnostics for H1N1 pandemic response under CPA standards, authoring emergency SOPs and training 12 staff members.</w:t>
      </w:r>
    </w:p>
    <w:p>
      <w:r>
        <w:rPr>
          <w:rFonts w:ascii="Calibri" w:hAnsi="Calibri"/>
          <w:b/>
          <w:color w:val="000000"/>
          <w:sz w:val="36"/>
        </w:rPr>
        <w:t>Selected Publications</w:t>
      </w:r>
    </w:p>
    <w:p>
      <w:pPr>
        <w:pStyle w:val="ListBullet"/>
      </w:pPr>
      <w:r>
        <w:rPr>
          <w:rFonts w:ascii="Calibri" w:hAnsi="Calibri"/>
          <w:b w:val="0"/>
          <w:color w:val="000000"/>
          <w:sz w:val="22"/>
        </w:rPr>
        <w:t>1st WHO International Standard for West Nile Virus RNA (WHO/BS/2020.2397)</w:t>
      </w:r>
    </w:p>
    <w:p>
      <w:pPr>
        <w:pStyle w:val="ListBullet"/>
      </w:pPr>
      <w:r>
        <w:rPr>
          <w:rFonts w:ascii="Calibri" w:hAnsi="Calibri"/>
          <w:b w:val="0"/>
          <w:color w:val="000000"/>
          <w:sz w:val="22"/>
        </w:rPr>
        <w:t>1st WHO International Standard for Herpes Simplex Virus DNA (WHO/BS/2020.239)</w:t>
      </w:r>
    </w:p>
    <w:p>
      <w:pPr>
        <w:pStyle w:val="ListBullet"/>
      </w:pPr>
      <w:r>
        <w:rPr>
          <w:rFonts w:ascii="Calibri" w:hAnsi="Calibri"/>
          <w:b w:val="0"/>
          <w:color w:val="000000"/>
          <w:sz w:val="22"/>
        </w:rPr>
        <w:t>2nd WHO International Standard for HIV-2 for NAT (WHO/BS/2018.2343)</w:t>
      </w:r>
    </w:p>
    <w:p>
      <w:pPr>
        <w:pStyle w:val="ListBullet"/>
      </w:pPr>
      <w:r>
        <w:rPr>
          <w:rFonts w:ascii="Calibri" w:hAnsi="Calibri"/>
          <w:b w:val="0"/>
          <w:color w:val="000000"/>
          <w:sz w:val="22"/>
        </w:rPr>
        <w:t>3rd WHO International Standard for Hepatitis A Virus for NAT (WHO/BS/2017.2308)</w:t>
      </w:r>
    </w:p>
    <w:p>
      <w:r>
        <w:rPr>
          <w:rFonts w:ascii="Calibri" w:hAnsi="Calibri"/>
          <w:b/>
          <w:color w:val="000000"/>
          <w:sz w:val="36"/>
        </w:rPr>
        <w:t>Education &amp; Training</w:t>
      </w:r>
    </w:p>
    <w:p>
      <w:pPr>
        <w:pStyle w:val="ListBullet"/>
      </w:pPr>
      <w:r>
        <w:rPr>
          <w:rFonts w:ascii="Calibri" w:hAnsi="Calibri"/>
          <w:b w:val="0"/>
          <w:color w:val="000000"/>
          <w:sz w:val="22"/>
        </w:rPr>
        <w:t>MSc/BSc in Microbiology/Related Pathology Discipline</w:t>
      </w:r>
    </w:p>
    <w:p>
      <w:pPr>
        <w:pStyle w:val="ListBullet"/>
      </w:pPr>
      <w:r>
        <w:rPr>
          <w:rFonts w:ascii="Calibri" w:hAnsi="Calibri"/>
          <w:b w:val="0"/>
          <w:color w:val="000000"/>
          <w:sz w:val="22"/>
        </w:rPr>
        <w:t>Diploma in Professional Development (Middlesex University)</w:t>
      </w:r>
    </w:p>
    <w:p>
      <w:pPr>
        <w:pStyle w:val="ListBullet"/>
      </w:pPr>
      <w:r>
        <w:rPr>
          <w:rFonts w:ascii="Calibri" w:hAnsi="Calibri"/>
          <w:b w:val="0"/>
          <w:color w:val="000000"/>
          <w:sz w:val="22"/>
        </w:rPr>
        <w:t>Certified in Lead Auditing and High-Containment Safety.</w:t>
      </w:r>
    </w:p>
    <w:sectPr w:rsidR="00FC693F" w:rsidRPr="0006063C" w:rsidSect="00034616">
      <w:pgSz w:w="12240" w:h="15840"/>
      <w:pgMar w:top="1134" w:right="2268"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