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0000"/>
          <w:sz w:val="58"/>
        </w:rPr>
        <w:t>Rehan A. Minhas</w:t>
      </w:r>
    </w:p>
    <w:p>
      <w:pPr>
        <w:jc w:val="center"/>
      </w:pPr>
      <w:r>
        <w:rPr>
          <w:rFonts w:ascii="Calibri" w:hAnsi="Calibri"/>
          <w:b w:val="0"/>
          <w:color w:val="000000"/>
          <w:sz w:val="22"/>
        </w:rPr>
        <w:t>Edgware, Middlesex | 07443 524 686 | rehan.minhas@hotmail.co.uk</w:t>
      </w:r>
    </w:p>
    <w:p>
      <w:r>
        <w:rPr>
          <w:rFonts w:ascii="Calibri" w:hAnsi="Calibri"/>
          <w:b/>
          <w:color w:val="000000"/>
          <w:sz w:val="36"/>
        </w:rPr>
        <w:t>Professional Profile</w:t>
      </w:r>
    </w:p>
    <w:p>
      <w:r>
        <w:rPr>
          <w:rFonts w:ascii="Calibri" w:hAnsi="Calibri"/>
          <w:b w:val="0"/>
          <w:color w:val="000000"/>
          <w:sz w:val="22"/>
        </w:rPr>
        <w:t>Senior Scientist with 10+ years of experience in infectious disease diagnostics, IVD standardisation, and regulatory compliance. Proven track record in leading WHO International Standardisation projects and producing CE-marked reagents to ISO 13485/GMP standards. Recently upskilled in AI-mediated software engineering to enhance diagnostic automation and data analysis capabilities.</w:t>
      </w:r>
    </w:p>
    <w:p>
      <w:r>
        <w:rPr>
          <w:rFonts w:ascii="Calibri" w:hAnsi="Calibri"/>
          <w:b/>
          <w:color w:val="000000"/>
          <w:sz w:val="36"/>
        </w:rPr>
        <w:t>Core Competencies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Molecular Diagnostics: PCR, ddPCR, RT-qPCR, ELISA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IVD Regulation: ISO 13485, GMP, IVDR, UKAS Accreditation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Laboratory Systems: Liaison XL, Roche Cobas 6800, Dynex, Immucor Echo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Standardisation: WHO International Standards, OCABR Batch Release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Virology: Cell Culture, Virus Propagation, RNA Extraction</w:t>
      </w:r>
    </w:p>
    <w:p>
      <w:r>
        <w:rPr>
          <w:rFonts w:ascii="Calibri" w:hAnsi="Calibri"/>
          <w:b/>
          <w:color w:val="000000"/>
          <w:sz w:val="22"/>
        </w:rPr>
        <w:t>Technology Enhancement (CPD):</w:t>
      </w:r>
    </w:p>
    <w:p>
      <w:r>
        <w:rPr>
          <w:rFonts w:ascii="Calibri" w:hAnsi="Calibri"/>
          <w:b w:val="0"/>
          <w:color w:val="000000"/>
          <w:sz w:val="22"/>
        </w:rPr>
        <w:t>Python (Laboratory Automation), Data Management (SQL, JSON), AI/ML for Diagnostic Optimisation.</w:t>
      </w:r>
    </w:p>
    <w:p>
      <w:r>
        <w:rPr>
          <w:rFonts w:ascii="Calibri" w:hAnsi="Calibri"/>
          <w:b/>
          <w:color w:val="000000"/>
          <w:sz w:val="36"/>
        </w:rPr>
        <w:t>Professional Experience</w:t>
      </w:r>
    </w:p>
    <w:p>
      <w:r>
        <w:rPr>
          <w:rFonts w:ascii="Calibri" w:hAnsi="Calibri"/>
          <w:b/>
          <w:color w:val="000000"/>
          <w:sz w:val="22"/>
        </w:rPr>
        <w:t>Scientist | NIBSC (MHRA), South Mimms</w:t>
      </w:r>
    </w:p>
    <w:p>
      <w:r>
        <w:rPr>
          <w:rFonts w:ascii="Calibri" w:hAnsi="Calibri"/>
          <w:b w:val="0"/>
          <w:color w:val="000000"/>
          <w:sz w:val="22"/>
        </w:rPr>
        <w:t>Mar 2013 – Aug 2022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Led WHO International Standardisation projects for NAT, coordinating multicentre studies involving 30+ laboratories.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Produced CE marked reagents to ISO 13485 and GMP standards in Containment Level 3 facilities.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Co-authored four WHO Technical Reports and delivered findings at international virology symposia.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Architected CL3 laboratory refurbishment for West Nile Virus standard production.</w:t>
      </w:r>
    </w:p>
    <w:p>
      <w:r>
        <w:rPr>
          <w:rFonts w:ascii="Calibri" w:hAnsi="Calibri"/>
          <w:b/>
          <w:color w:val="000000"/>
          <w:sz w:val="22"/>
        </w:rPr>
        <w:t>Senior Laboratory Scientist | Anthony Nolan Research Institute</w:t>
      </w:r>
    </w:p>
    <w:p>
      <w:r>
        <w:rPr>
          <w:rFonts w:ascii="Calibri" w:hAnsi="Calibri"/>
          <w:b w:val="0"/>
          <w:color w:val="000000"/>
          <w:sz w:val="22"/>
        </w:rPr>
        <w:t>Aug 2023 – Feb 2024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Conducted virological screening using Dynex instruments and ABO testing using Immunocor Echo to UKAS standards.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Led implementation of new instrumentation for virological screening of HIV, HBV, HCV, and CMV.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Spearheaded technical preparation for the 2024 UKAS audit, resulting in zero major findings.</w:t>
      </w:r>
    </w:p>
    <w:p>
      <w:r>
        <w:rPr>
          <w:rFonts w:ascii="Calibri" w:hAnsi="Calibri"/>
          <w:b/>
          <w:color w:val="000000"/>
          <w:sz w:val="22"/>
        </w:rPr>
        <w:t>Healthcare Scientist Practitioner | Health Protection Agency (UKHSA)</w:t>
      </w:r>
    </w:p>
    <w:p>
      <w:r>
        <w:rPr>
          <w:rFonts w:ascii="Calibri" w:hAnsi="Calibri"/>
          <w:b w:val="0"/>
          <w:color w:val="000000"/>
          <w:sz w:val="22"/>
        </w:rPr>
        <w:t>Jan 2010 – Jan 2011</w:t>
      </w:r>
    </w:p>
    <w:p>
      <w:pPr>
        <w:pStyle w:val="ListBullet"/>
      </w:pPr>
      <w:r>
        <w:t>Performed RT-qPCR diagnostics for H1N1 pandemic response under CPA standards; authored emergency SOPs.</w:t>
      </w:r>
    </w:p>
    <w:p>
      <w:r>
        <w:rPr>
          <w:rFonts w:ascii="Calibri" w:hAnsi="Calibri"/>
          <w:b/>
          <w:color w:val="000000"/>
          <w:sz w:val="36"/>
        </w:rPr>
        <w:t>Continuing Professional Development</w:t>
      </w:r>
    </w:p>
    <w:p>
      <w:r>
        <w:rPr>
          <w:rFonts w:ascii="Calibri" w:hAnsi="Calibri"/>
          <w:b/>
          <w:color w:val="000000"/>
          <w:sz w:val="22"/>
        </w:rPr>
        <w:t>Skills Bootcamp in AI-Mediated Software Engineering | Skills City</w:t>
      </w:r>
      <w:r>
        <w:rPr>
          <w:rFonts w:ascii="Calibri" w:hAnsi="Calibri"/>
          <w:b w:val="0"/>
          <w:color w:val="000000"/>
          <w:sz w:val="22"/>
        </w:rPr>
        <w:t xml:space="preserve"> - Applied AI/ML concepts to diagnostic science workflows, including laboratory automation and data analysis pipelines. Leveraged Python to optimize LIMS processes.</w:t>
      </w:r>
    </w:p>
    <w:p>
      <w:r>
        <w:rPr>
          <w:rFonts w:ascii="Calibri" w:hAnsi="Calibri"/>
          <w:b/>
          <w:color w:val="000000"/>
          <w:sz w:val="22"/>
        </w:rPr>
        <w:t>Digital PCR (ddPCR) Training | NIBSC Internal</w:t>
      </w:r>
      <w:r>
        <w:rPr>
          <w:rFonts w:ascii="Calibri" w:hAnsi="Calibri"/>
          <w:b w:val="0"/>
          <w:color w:val="000000"/>
          <w:sz w:val="22"/>
        </w:rPr>
        <w:t xml:space="preserve"> - Advanced quantification for viral load analysis and International Standard characterization.</w:t>
      </w:r>
    </w:p>
    <w:p>
      <w:r>
        <w:rPr>
          <w:rFonts w:ascii="Calibri" w:hAnsi="Calibri"/>
          <w:b/>
          <w:color w:val="000000"/>
          <w:sz w:val="36"/>
        </w:rPr>
        <w:t>Education</w:t>
      </w:r>
    </w:p>
    <w:p>
      <w:r>
        <w:rPr>
          <w:rFonts w:ascii="Calibri" w:hAnsi="Calibri"/>
          <w:b w:val="0"/>
          <w:color w:val="000000"/>
          <w:sz w:val="22"/>
        </w:rPr>
        <w:t>MSc/BSc in Microbiology/Related Pathology Discipline | Diploma in Professional Development (Middlesex)</w:t>
      </w:r>
    </w:p>
    <w:sectPr w:rsidR="00FC693F" w:rsidRPr="0006063C" w:rsidSect="00034616">
      <w:pgSz w:w="12240" w:h="15840"/>
      <w:pgMar w:top="1134" w:right="2268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