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Rehan A. Minhas</w:t>
      </w:r>
    </w:p>
    <w:p>
      <w:pPr>
        <w:jc w:val="center"/>
      </w:pPr>
      <w:r>
        <w:t>Edgware, Middlesex | 07443 524 686 | rehan.minhas@hotmail.co.uk</w:t>
      </w:r>
    </w:p>
    <w:p>
      <w:pPr>
        <w:pStyle w:val="Heading1"/>
      </w:pPr>
      <w:r>
        <w:t>Personal Profile</w:t>
      </w:r>
    </w:p>
    <w:p>
      <w:r>
        <w:t>Strategic Scientific Operator bridging industrial biotech precision (Lonza) with regulatory public health impact (NIBSC/UKHSA). Expert in evidence-led synthesis and systems-level compliance.</w:t>
      </w:r>
    </w:p>
    <w:p>
      <w:pPr>
        <w:pStyle w:val="Heading1"/>
      </w:pPr>
      <w:r>
        <w:t>Core Competencies</w:t>
      </w:r>
    </w:p>
    <w:p>
      <w:pPr>
        <w:pStyle w:val="ListBullet"/>
      </w:pPr>
      <w:r>
        <w:t>Molecular Diagnostics (RT-qPCR, ddPCR, NAATs)</w:t>
      </w:r>
    </w:p>
    <w:p>
      <w:pPr>
        <w:pStyle w:val="ListBullet"/>
      </w:pPr>
      <w:r>
        <w:t>IVD Regulation &amp; Compliance (ISO 13485, IVDR, GMP)</w:t>
      </w:r>
    </w:p>
    <w:p>
      <w:pPr>
        <w:pStyle w:val="ListBullet"/>
      </w:pPr>
      <w:r>
        <w:t>Clinical Laboratory Validation &amp; Verification</w:t>
      </w:r>
    </w:p>
    <w:p>
      <w:pPr>
        <w:pStyle w:val="ListBullet"/>
      </w:pPr>
      <w:r>
        <w:t>Strategic Project Management (WHO Standards)</w:t>
      </w:r>
    </w:p>
    <w:p>
      <w:pPr>
        <w:pStyle w:val="ListBullet"/>
      </w:pPr>
      <w:r>
        <w:t>Quality Management &amp; UKAS/CPA Auditing</w:t>
      </w:r>
    </w:p>
    <w:p>
      <w:pPr>
        <w:pStyle w:val="ListBullet"/>
      </w:pPr>
      <w:r>
        <w:t>High-Containment Pathogen Management (CL3/SAPO4)</w:t>
      </w:r>
    </w:p>
    <w:p>
      <w:pPr>
        <w:pStyle w:val="Heading1"/>
      </w:pPr>
      <w:r>
        <w:t>Professional Experience</w:t>
      </w:r>
    </w:p>
    <w:p>
      <w:r>
        <w:rPr>
          <w:b/>
        </w:rPr>
        <w:t>Senior Laboratory Scientist | Anthony Nolan Research Institute</w:t>
      </w:r>
    </w:p>
    <w:p>
      <w:r>
        <w:t>Aug 2023 – Feb 2024</w:t>
      </w:r>
    </w:p>
    <w:p>
      <w:pPr>
        <w:pStyle w:val="ListBullet"/>
      </w:pPr>
      <w:r>
        <w:t>Optimized ABO blood-group testing on the Immunocor Echo platform, reducing error rates by 66% through protocol standardization. Led preparation for 2024 UKAS audit, achieving zero major findings.</w:t>
      </w:r>
    </w:p>
    <w:p>
      <w:r>
        <w:rPr>
          <w:b/>
        </w:rPr>
        <w:t>Scientist (HEO), Infectious Disease Diagnostics | NIBSC (MHRA)</w:t>
      </w:r>
    </w:p>
    <w:p>
      <w:r>
        <w:t>Mar 2013 – Aug 2022</w:t>
      </w:r>
    </w:p>
    <w:p>
      <w:pPr>
        <w:pStyle w:val="ListBullet"/>
      </w:pPr>
      <w:r>
        <w:t>Managed end-to-end production of CE-marked reagents (ISO 13485/GMP). Led WHO NAT standardization projects, coordinating 30+ labs globally. Directed CL3 laboratory refurbishment for West Nile Virus standard production.</w:t>
      </w:r>
    </w:p>
    <w:p>
      <w:r>
        <w:rPr>
          <w:b/>
        </w:rPr>
        <w:t>Healthcare Scientist Practitioner | UKHSA (Colindale)</w:t>
      </w:r>
    </w:p>
    <w:p>
      <w:r>
        <w:t>Jan 2010 – Jan 2011</w:t>
      </w:r>
    </w:p>
    <w:p>
      <w:pPr>
        <w:pStyle w:val="ListBullet"/>
      </w:pPr>
      <w:r>
        <w:t>Performed RT-qPCR diagnostics for H1N1 pandemic response under CPA standards. Authored emergency SOPs and trained 12 staff members.</w:t>
      </w:r>
    </w:p>
    <w:p>
      <w:pPr>
        <w:pStyle w:val="Heading1"/>
      </w:pPr>
      <w:r>
        <w:t>Education &amp; Training</w:t>
      </w:r>
    </w:p>
    <w:p>
      <w:r>
        <w:t>MSc/BSc in Microbiology/Related Pathology Discipline (Verified via IDBO)</w:t>
      </w:r>
    </w:p>
    <w:p>
      <w:r>
        <w:t>Evidence of continuous professional development in IVD regulations and quality systems.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