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00000"/>
          <w:sz w:val="58"/>
        </w:rPr>
        <w:t>Rehan A. Minhas</w:t>
      </w:r>
    </w:p>
    <w:p>
      <w:pPr>
        <w:jc w:val="center"/>
      </w:pPr>
      <w:r>
        <w:rPr>
          <w:rFonts w:ascii="Calibri" w:hAnsi="Calibri"/>
          <w:b w:val="0"/>
          <w:color w:val="000000"/>
          <w:sz w:val="22"/>
        </w:rPr>
        <w:t>Edgware, Middlesex | 07443 524 686 | rehan.minhas@hotmail.co.uk</w:t>
      </w:r>
    </w:p>
    <w:p>
      <w:pPr>
        <w:spacing w:before="380"/>
      </w:pPr>
    </w:p>
    <w:p>
      <w:r>
        <w:rPr>
          <w:rFonts w:ascii="Calibri" w:hAnsi="Calibri"/>
          <w:b/>
          <w:color w:val="000000"/>
          <w:sz w:val="36"/>
        </w:rPr>
        <w:t>Professional Profile</w:t>
      </w:r>
    </w:p>
    <w:p>
      <w:r>
        <w:rPr>
          <w:rFonts w:ascii="Calibri" w:hAnsi="Calibri"/>
          <w:b w:val="0"/>
          <w:color w:val="000000"/>
          <w:sz w:val="22"/>
        </w:rPr>
        <w:t>Senior Scientist with 15+ years of expertise in infectious disease diagnostics, IVD standardisation, and regulatory compliance. Proven lead in establishing WHO International Standards and achieving zero-finding UKAS audits. Applying extensive NIBSC/MHRA regulatory science and UKHSA operational experience to enhance laboratory capabilities through 'Science-First, Tech-Enhanced' diagnostic automation.</w:t>
      </w:r>
    </w:p>
    <w:p>
      <w:pPr>
        <w:spacing w:before="380"/>
      </w:pPr>
    </w:p>
    <w:p>
      <w:r>
        <w:rPr>
          <w:rFonts w:ascii="Calibri" w:hAnsi="Calibri"/>
          <w:b/>
          <w:color w:val="000000"/>
          <w:sz w:val="36"/>
        </w:rPr>
        <w:t>Core Competencies</w:t>
      </w:r>
    </w:p>
    <w:p>
      <w:pPr>
        <w:pStyle w:val="ListBullet"/>
      </w:pPr>
      <w:r>
        <w:rPr>
          <w:rFonts w:ascii="Calibri" w:hAnsi="Calibri"/>
          <w:b w:val="0"/>
          <w:color w:val="000000"/>
          <w:sz w:val="22"/>
        </w:rPr>
        <w:t>Molecular Platforms: ABI 7500, AKTA, Liaison XL, Qiagen Rotagene, RT-qPCR</w:t>
      </w:r>
    </w:p>
    <w:p>
      <w:pPr>
        <w:pStyle w:val="ListBullet"/>
      </w:pPr>
      <w:r>
        <w:rPr>
          <w:rFonts w:ascii="Calibri" w:hAnsi="Calibri"/>
          <w:b w:val="0"/>
          <w:color w:val="000000"/>
          <w:sz w:val="22"/>
        </w:rPr>
        <w:t>Quality Governance: ALCOA+, GLP, GMP, ISO 13485, ISO 17025</w:t>
      </w:r>
    </w:p>
    <w:p>
      <w:pPr>
        <w:pStyle w:val="ListBullet"/>
      </w:pPr>
      <w:r>
        <w:rPr>
          <w:rFonts w:ascii="Calibri" w:hAnsi="Calibri"/>
          <w:b w:val="0"/>
          <w:color w:val="000000"/>
          <w:sz w:val="22"/>
        </w:rPr>
        <w:t>Global Standardisation: Lead on multiple WHO International Study consortia</w:t>
      </w:r>
    </w:p>
    <w:p>
      <w:pPr>
        <w:pStyle w:val="ListBullet"/>
      </w:pPr>
      <w:r>
        <w:rPr>
          <w:rFonts w:ascii="Calibri" w:hAnsi="Calibri"/>
          <w:b w:val="0"/>
          <w:color w:val="000000"/>
          <w:sz w:val="22"/>
        </w:rPr>
        <w:t>Clinical Diagnostics: PCR/ELISA for high-containment pathogens (CL3)</w:t>
      </w:r>
    </w:p>
    <w:p>
      <w:pPr>
        <w:spacing w:before="380"/>
      </w:pPr>
    </w:p>
    <w:p>
      <w:r>
        <w:rPr>
          <w:rFonts w:ascii="Calibri" w:hAnsi="Calibri"/>
          <w:b/>
          <w:color w:val="000000"/>
          <w:sz w:val="36"/>
        </w:rPr>
        <w:t>Professional Experience</w:t>
      </w:r>
    </w:p>
    <w:p>
      <w:r>
        <w:rPr>
          <w:rFonts w:ascii="Calibri" w:hAnsi="Calibri"/>
          <w:b/>
          <w:color w:val="000000"/>
          <w:sz w:val="22"/>
        </w:rPr>
        <w:t>Biotechnologist 1 | Lonza Biologics PLC, Slough</w:t>
      </w:r>
    </w:p>
    <w:p>
      <w:r>
        <w:rPr>
          <w:rFonts w:ascii="Calibri" w:hAnsi="Calibri"/>
          <w:b w:val="0"/>
          <w:color w:val="000000"/>
          <w:sz w:val="22"/>
        </w:rPr>
        <w:t>July 2025 – Jan 2026</w:t>
      </w:r>
    </w:p>
    <w:p>
      <w:pPr>
        <w:pStyle w:val="ListBullet"/>
      </w:pPr>
      <w:r>
        <w:rPr>
          <w:rFonts w:ascii="Calibri" w:hAnsi="Calibri"/>
          <w:b w:val="0"/>
          <w:color w:val="000000"/>
          <w:sz w:val="22"/>
        </w:rPr>
        <w:t>Operated AKTA chromatography (Sartorius columns): set-up, run, and post-run verification.</w:t>
      </w:r>
    </w:p>
    <w:p>
      <w:pPr>
        <w:pStyle w:val="ListBullet"/>
      </w:pPr>
      <w:r>
        <w:rPr>
          <w:rFonts w:ascii="Calibri" w:hAnsi="Calibri"/>
          <w:b w:val="0"/>
          <w:color w:val="000000"/>
          <w:sz w:val="22"/>
        </w:rPr>
        <w:t>Executed downstream bioprocessing (IPF, VRF, UF/DF) in GMP clean-room suites.</w:t>
      </w:r>
    </w:p>
    <w:p>
      <w:pPr>
        <w:pStyle w:val="ListBullet"/>
      </w:pPr>
      <w:r>
        <w:rPr>
          <w:rFonts w:ascii="Calibri" w:hAnsi="Calibri"/>
          <w:b w:val="0"/>
          <w:color w:val="000000"/>
          <w:sz w:val="22"/>
        </w:rPr>
        <w:t>Maintained ALCOA+ compliant batch records and supported CAPA/deviation logging.</w:t>
      </w:r>
    </w:p>
    <w:p>
      <w:pPr>
        <w:pStyle w:val="ListBullet"/>
      </w:pPr>
      <w:r>
        <w:rPr>
          <w:rFonts w:ascii="Calibri" w:hAnsi="Calibri"/>
          <w:b w:val="0"/>
          <w:color w:val="000000"/>
          <w:sz w:val="22"/>
        </w:rPr>
        <w:t>Spearheaded local process improvements to enhance buffer preparation efficiency.</w:t>
      </w:r>
    </w:p>
    <w:p>
      <w:r>
        <w:rPr>
          <w:rFonts w:ascii="Calibri" w:hAnsi="Calibri"/>
          <w:b/>
          <w:color w:val="000000"/>
          <w:sz w:val="22"/>
        </w:rPr>
        <w:t>Scientist | NIBSC (MHRA)</w:t>
      </w:r>
    </w:p>
    <w:p>
      <w:r>
        <w:rPr>
          <w:rFonts w:ascii="Calibri" w:hAnsi="Calibri"/>
          <w:b w:val="0"/>
          <w:color w:val="000000"/>
          <w:sz w:val="22"/>
        </w:rPr>
        <w:t>Mar 2013 – Aug 2022</w:t>
      </w:r>
    </w:p>
    <w:p>
      <w:pPr>
        <w:pStyle w:val="ListBullet"/>
      </w:pPr>
      <w:r>
        <w:rPr>
          <w:rFonts w:ascii="Calibri" w:hAnsi="Calibri"/>
          <w:b w:val="0"/>
          <w:color w:val="000000"/>
          <w:sz w:val="22"/>
        </w:rPr>
        <w:t>Led multiple high-profile international collaborative studies for the World Health Organization (WHO).</w:t>
      </w:r>
    </w:p>
    <w:p>
      <w:pPr>
        <w:pStyle w:val="ListBullet"/>
      </w:pPr>
      <w:r>
        <w:rPr>
          <w:rFonts w:ascii="Calibri" w:hAnsi="Calibri"/>
          <w:b w:val="0"/>
          <w:color w:val="000000"/>
          <w:sz w:val="22"/>
        </w:rPr>
        <w:t>Coordinated a vast consortium of 32 premier institutions across 24 countries for global NAT standards.</w:t>
      </w:r>
    </w:p>
    <w:p>
      <w:pPr>
        <w:pStyle w:val="ListBullet"/>
      </w:pPr>
      <w:r>
        <w:rPr>
          <w:rFonts w:ascii="Calibri" w:hAnsi="Calibri"/>
          <w:b w:val="0"/>
          <w:color w:val="000000"/>
          <w:sz w:val="22"/>
        </w:rPr>
        <w:t>Managed end-to-end production of CE-marked IVDs (ISO 13485/GMP) in CL3 environments.</w:t>
      </w:r>
    </w:p>
    <w:p>
      <w:pPr>
        <w:pStyle w:val="ListBullet"/>
      </w:pPr>
      <w:r>
        <w:rPr>
          <w:rFonts w:ascii="Calibri" w:hAnsi="Calibri"/>
          <w:b w:val="0"/>
          <w:color w:val="000000"/>
          <w:sz w:val="22"/>
        </w:rPr>
        <w:t>Introduced ddPCR for vaccine stability, increasing sensitivity for viral contaminants 2-fold.</w:t>
      </w:r>
    </w:p>
    <w:p>
      <w:pPr>
        <w:pStyle w:val="ListBullet"/>
      </w:pPr>
      <w:r>
        <w:rPr>
          <w:rFonts w:ascii="Calibri" w:hAnsi="Calibri"/>
          <w:b w:val="0"/>
          <w:color w:val="000000"/>
          <w:sz w:val="22"/>
        </w:rPr>
        <w:t>Architected CL3 facility refurbishment for WNV production to SAPO4 and Schedule 5 standards.</w:t>
      </w:r>
    </w:p>
    <w:p>
      <w:pPr>
        <w:pStyle w:val="ListBullet"/>
      </w:pPr>
      <w:r>
        <w:rPr>
          <w:rFonts w:ascii="Calibri" w:hAnsi="Calibri"/>
          <w:b w:val="0"/>
          <w:color w:val="000000"/>
          <w:sz w:val="22"/>
        </w:rPr>
        <w:t>Evaluated Roche Cobas 6800 and Liaison XL systems for high-throughput virological screening.</w:t>
      </w:r>
    </w:p>
    <w:p>
      <w:r>
        <w:rPr>
          <w:rFonts w:ascii="Calibri" w:hAnsi="Calibri"/>
          <w:b/>
          <w:color w:val="000000"/>
          <w:sz w:val="22"/>
        </w:rPr>
        <w:t>Senior Laboratory Scientist | Anthony Nolan Institute</w:t>
      </w:r>
    </w:p>
    <w:p>
      <w:r>
        <w:rPr>
          <w:rFonts w:ascii="Calibri" w:hAnsi="Calibri"/>
          <w:b w:val="0"/>
          <w:color w:val="000000"/>
          <w:sz w:val="22"/>
        </w:rPr>
        <w:t>Aug 2023 – Feb 2024</w:t>
      </w:r>
    </w:p>
    <w:p>
      <w:pPr>
        <w:pStyle w:val="ListBullet"/>
      </w:pPr>
      <w:r>
        <w:rPr>
          <w:rFonts w:ascii="Calibri" w:hAnsi="Calibri"/>
          <w:b w:val="0"/>
          <w:color w:val="000000"/>
          <w:sz w:val="22"/>
        </w:rPr>
        <w:t>Optimized ABO blood-group testing on Immunocor Echo, reducing error rates by 66%.</w:t>
      </w:r>
    </w:p>
    <w:p>
      <w:pPr>
        <w:pStyle w:val="ListBullet"/>
      </w:pPr>
      <w:r>
        <w:rPr>
          <w:rFonts w:ascii="Calibri" w:hAnsi="Calibri"/>
          <w:b w:val="0"/>
          <w:color w:val="000000"/>
          <w:sz w:val="22"/>
        </w:rPr>
        <w:t>Lead technical preparation for 2024 UKAS audit (Zero major findings).</w:t>
      </w:r>
    </w:p>
    <w:p>
      <w:pPr>
        <w:pStyle w:val="ListBullet"/>
      </w:pPr>
      <w:r>
        <w:rPr>
          <w:rFonts w:ascii="Calibri" w:hAnsi="Calibri"/>
          <w:b w:val="0"/>
          <w:color w:val="000000"/>
          <w:sz w:val="22"/>
        </w:rPr>
        <w:t>Evaluated Diasorin Liaison XL chemiluminescent ELISA for viral markers.</w:t>
      </w:r>
    </w:p>
    <w:p>
      <w:pPr>
        <w:spacing w:before="380"/>
      </w:pPr>
    </w:p>
    <w:p>
      <w:r>
        <w:rPr>
          <w:rFonts w:ascii="Calibri" w:hAnsi="Calibri"/>
          <w:b/>
          <w:color w:val="000000"/>
          <w:sz w:val="36"/>
        </w:rPr>
        <w:t>Selected Publications</w:t>
      </w:r>
    </w:p>
    <w:p>
      <w:pPr>
        <w:pStyle w:val="ListBullet"/>
      </w:pPr>
      <w:r>
        <w:rPr>
          <w:rFonts w:ascii="Calibri" w:hAnsi="Calibri"/>
          <w:b w:val="0"/>
          <w:color w:val="000000"/>
          <w:sz w:val="22"/>
        </w:rPr>
        <w:t>Rehan Minhas, Sheila Govind, Arinder Kohli, Thomas Bleazard, Martin Fritzsche, Paul Matejtschuk, Jason Hockley and Clare Morris. Collaborative Study to Evaluate the 1st WHO International Standard for Herpes Simplex Virus (HSV) DNA for Nucleic Acid Amplification Technology (NAT)-Based Assays. WHO/BS/2020.239.</w:t>
      </w:r>
    </w:p>
    <w:p>
      <w:pPr>
        <w:pStyle w:val="ListBullet"/>
      </w:pPr>
      <w:r>
        <w:rPr>
          <w:rFonts w:ascii="Calibri" w:hAnsi="Calibri"/>
          <w:b w:val="0"/>
          <w:color w:val="000000"/>
          <w:sz w:val="22"/>
        </w:rPr>
        <w:t>Sarah L. Kempster, Rehan Minhas, Jason G Hockley, and Clare L. Morris. A collaborative study to evaluate the proposed 1st WHO International Standard for West Nile Virus (WNV) RNA for Nucleic Acid Amplification Techniques (NAT). WHO/BS/2020.2397.</w:t>
      </w:r>
    </w:p>
    <w:p>
      <w:pPr>
        <w:pStyle w:val="ListBullet"/>
      </w:pPr>
      <w:r>
        <w:rPr>
          <w:rFonts w:ascii="Calibri" w:hAnsi="Calibri"/>
          <w:b w:val="0"/>
          <w:color w:val="000000"/>
          <w:sz w:val="22"/>
        </w:rPr>
        <w:t>Rehan Minhas, Emmanuella Adjei, Jason Hockley, Peter Rigsby, and Clare Morris. Preparation and evaluation of the 2nd WHO International Standard for human immunodeficiency virus 2 (HIV-2) for Nucleic acid Amplification Techniques (NAT). WHO/BS/2018.2343.</w:t>
      </w:r>
    </w:p>
    <w:p>
      <w:pPr>
        <w:pStyle w:val="ListBullet"/>
      </w:pPr>
      <w:r>
        <w:rPr>
          <w:rFonts w:ascii="Calibri" w:hAnsi="Calibri"/>
          <w:b w:val="0"/>
          <w:color w:val="000000"/>
          <w:sz w:val="22"/>
        </w:rPr>
        <w:t>Rehan Minhas, Jacqueline F. Fryer, Jason Hockley and Clare Morris. Collaborative Study to Evaluate the Proposed 3rd WHO International Standard for Hepatitis A Virus (HAV) for Nucleic Acid Amplification Technology (NAT)-Based Assays. WHO/BS/2017.2308.</w:t>
      </w:r>
    </w:p>
    <w:p>
      <w:pPr>
        <w:pStyle w:val="ListBullet"/>
      </w:pPr>
      <w:r>
        <w:rPr>
          <w:rFonts w:ascii="Calibri" w:hAnsi="Calibri"/>
          <w:b w:val="0"/>
          <w:color w:val="000000"/>
          <w:sz w:val="22"/>
        </w:rPr>
        <w:t>Jacqueline F. Fryer, Rehan Minhas, Thomas Dougall, Peter Rigsby, Clare L. Morris and the Collaborative Study Group. Collaborative Study to Evaluate the Proposed WHO 4th International Standard for Hepatitis B Virus (HBV) DNA for Nucleic Acid Amplification Technique (NAT) based assays. WHO/BS/2016.2291.</w:t>
      </w:r>
    </w:p>
    <w:p>
      <w:pPr>
        <w:spacing w:before="380"/>
      </w:pPr>
    </w:p>
    <w:p>
      <w:r>
        <w:rPr>
          <w:rFonts w:ascii="Calibri" w:hAnsi="Calibri"/>
          <w:b/>
          <w:color w:val="000000"/>
          <w:sz w:val="36"/>
        </w:rPr>
        <w:t>Continuing Professional Development</w:t>
      </w:r>
    </w:p>
    <w:p>
      <w:r>
        <w:rPr>
          <w:rFonts w:ascii="Calibri" w:hAnsi="Calibri"/>
          <w:b w:val="0"/>
          <w:color w:val="000000"/>
          <w:sz w:val="22"/>
        </w:rPr>
        <w:t>Skills Bootcamp in AI-Mediated Software Engineering (2024): Applied Python/AI to diagnostic automation. Digital PCR (ddPCR) Specialist Training. Diploma in Professional Development.</w:t>
      </w:r>
    </w:p>
    <w:sectPr w:rsidR="00FC693F" w:rsidRPr="0006063C" w:rsidSect="00034616">
      <w:pgSz w:w="12240" w:h="15840"/>
      <w:pgMar w:top="1134" w:right="2293"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