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58"/>
        </w:rPr>
        <w:t>Rehan A. Minhas</w:t>
      </w:r>
    </w:p>
    <w:p>
      <w:pPr>
        <w:jc w:val="center"/>
      </w:pPr>
      <w:r>
        <w:rPr>
          <w:rFonts w:ascii="Calibri" w:hAnsi="Calibri"/>
          <w:b w:val="0"/>
          <w:color w:val="000000"/>
          <w:sz w:val="22"/>
        </w:rPr>
        <w:t>Edgware, Middlesex | 07443 524 686 | rehan.minhas@hotmail.co.uk</w:t>
      </w:r>
    </w:p>
    <w:p>
      <w:pPr>
        <w:pStyle w:val="Heading1"/>
      </w:pPr>
    </w:p>
    <w:p>
      <w:r>
        <w:rPr>
          <w:rFonts w:ascii="Calibri" w:hAnsi="Calibri"/>
          <w:b/>
          <w:color w:val="000000"/>
          <w:sz w:val="36"/>
        </w:rPr>
        <w:t>Personal Profile</w:t>
      </w:r>
    </w:p>
    <w:p>
      <w:r>
        <w:rPr>
          <w:rFonts w:ascii="Calibri" w:hAnsi="Calibri"/>
          <w:b w:val="0"/>
          <w:color w:val="000000"/>
          <w:sz w:val="22"/>
        </w:rPr>
        <w:t>Authoritative Strategic Scientific Leader with 15+ years of high-stakes laboratory and industrial GMP expertise. Spearheaded global diagnostic harmonization (WHO) and orchestrated large-scale biomanufacturing systems (Lonza, MHRA). Expert in AKTA chromatography and downstream processing within ALCOA+ compliant environments. Proven record in architecting solutions that translate complex experimental data into definitive public health policy and industrial excellence.</w:t>
      </w:r>
    </w:p>
    <w:p>
      <w:r>
        <w:rPr>
          <w:rFonts w:ascii="Calibri" w:hAnsi="Calibri"/>
          <w:b/>
          <w:color w:val="000000"/>
          <w:sz w:val="36"/>
        </w:rPr>
        <w:t>Core Competencies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Industrial GMP &amp; Downstream Processing (AKTA, UF/DF)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Strategic Molecular Diagnostics (RT-qPCR, ddPCR, NAATs)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Regulatory Orchestration (ISO 13485, IVDR, FDA, ALCOA+)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Global Standardization &amp; WHO Technical Reporting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Clinical Laboratory Validation &amp; Change Management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High-Containment Pathogen Operations (CL3/SAPO4/Schedule 5)</w:t>
      </w:r>
    </w:p>
    <w:p>
      <w:r>
        <w:rPr>
          <w:rFonts w:ascii="Calibri" w:hAnsi="Calibri"/>
          <w:b/>
          <w:color w:val="000000"/>
          <w:sz w:val="36"/>
        </w:rPr>
        <w:t>Professional Experience</w:t>
      </w:r>
    </w:p>
    <w:p>
      <w:r>
        <w:rPr>
          <w:rFonts w:ascii="Calibri" w:hAnsi="Calibri"/>
          <w:b/>
          <w:color w:val="000000"/>
          <w:sz w:val="22"/>
        </w:rPr>
        <w:t>Biotechnologist 1 | Lonza Biologics PLC, Slough</w:t>
      </w:r>
    </w:p>
    <w:p>
      <w:r>
        <w:rPr>
          <w:rFonts w:ascii="Calibri" w:hAnsi="Calibri"/>
          <w:b w:val="0"/>
          <w:color w:val="000000"/>
          <w:sz w:val="22"/>
        </w:rPr>
        <w:t>July 2025 – Jan 2026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Operated AKTA chromatography systems (Sartorius columns), managing the end-to-end set-up, run execution, and post-run verification for complex downstream workflows.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Executed critical downstream operations including IPF, VRF, and UF/DF, alongside buffer preparation within high-fidelity GMP clean-room environments.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Maintained rigorous ALCOA+ GMP batch records, identifying and logging deviations to support CAPA investigations and system validations.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Performed specialized equipment cleaning and maintenance; spearhead local process improvements to enhance operational efficiency and compliance safety.</w:t>
      </w:r>
    </w:p>
    <w:p>
      <w:r>
        <w:rPr>
          <w:rFonts w:ascii="Calibri" w:hAnsi="Calibri"/>
          <w:b/>
          <w:color w:val="000000"/>
          <w:sz w:val="22"/>
        </w:rPr>
        <w:t>Senior Laboratory Scientist | Anthony Nolan Research Institute</w:t>
      </w:r>
    </w:p>
    <w:p>
      <w:r>
        <w:rPr>
          <w:rFonts w:ascii="Calibri" w:hAnsi="Calibri"/>
          <w:b w:val="0"/>
          <w:color w:val="000000"/>
          <w:sz w:val="22"/>
        </w:rPr>
        <w:t>Aug 2023 – Feb 2024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Orchestrated ABO blood-group testing optimization on the Immunocor Echo platform, reducing error rates by 66% through comprehensive protocol standardization.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Led implementation of the Diasorin Liaison XL chemiluminescent ELISA analyser for virological screening (HIV, HBV, HCV, CMV).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Spearheaded preparation for the 2024 UKAS audit, delivering zero major findings.</w:t>
      </w:r>
    </w:p>
    <w:p>
      <w:r>
        <w:rPr>
          <w:rFonts w:ascii="Calibri" w:hAnsi="Calibri"/>
          <w:b/>
          <w:color w:val="000000"/>
          <w:sz w:val="22"/>
        </w:rPr>
        <w:t>Scientist (HEO), Infectious Disease Diagnostics | NIBSC (MHRA)</w:t>
      </w:r>
    </w:p>
    <w:p>
      <w:r>
        <w:rPr>
          <w:rFonts w:ascii="Calibri" w:hAnsi="Calibri"/>
          <w:b w:val="0"/>
          <w:color w:val="000000"/>
          <w:sz w:val="22"/>
        </w:rPr>
        <w:t>Mar 2013 – Aug 2022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Managed end-to-end production of CE-marked IVDs (ISO 13485/GMP), coordinating international multicentre collaborative studies involving 32 institutions across 24 countries.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Led WHO NAT standardization projects and co-authored four definitive WHO Technical Reports.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Architected the refurbishment of SAPO4 Schedule 5-compliant CL3 laboratories for West Nile Virus standard production.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Performed OCABR batch release screening using Roche Cobas 6800 systems; introduced ddPCR for enhanced quantification sensitivity.</w:t>
      </w:r>
    </w:p>
    <w:p>
      <w:r>
        <w:rPr>
          <w:rFonts w:ascii="Calibri" w:hAnsi="Calibri"/>
          <w:b/>
          <w:color w:val="000000"/>
          <w:sz w:val="22"/>
        </w:rPr>
        <w:t>Healthcare Scientist Practitioner | UKHSA (Colindale)</w:t>
      </w:r>
    </w:p>
    <w:p>
      <w:r>
        <w:rPr>
          <w:rFonts w:ascii="Calibri" w:hAnsi="Calibri"/>
          <w:b w:val="0"/>
          <w:color w:val="000000"/>
          <w:sz w:val="22"/>
        </w:rPr>
        <w:t>Jan 2010 – Jan 2011</w:t>
      </w:r>
    </w:p>
    <w:p>
      <w:pPr>
        <w:pStyle w:val="ListBullet"/>
      </w:pPr>
      <w:r>
        <w:t>Delivered high-volume RT-qPCR diagnostics for H1N1 pandemic response under CPA standards.</w:t>
      </w:r>
    </w:p>
    <w:p>
      <w:r>
        <w:rPr>
          <w:rFonts w:ascii="Calibri" w:hAnsi="Calibri"/>
          <w:b/>
          <w:color w:val="000000"/>
          <w:sz w:val="36"/>
        </w:rPr>
        <w:t>Selected Publications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1st WHO International Standard for West Nile Virus RNA (WHO/BS/2020.2397)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1st WHO International Standard for Herpes Simplex Virus DNA (WHO/BS/2020.239)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2nd WHO International Standard for HIV-2 for NAT (WHO/BS/2018.2343)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3rd WHO International Standard for Hepatitis A Virus for NAT (WHO/BS/2017.2308)</w:t>
      </w:r>
    </w:p>
    <w:p>
      <w:r>
        <w:rPr>
          <w:rFonts w:ascii="Calibri" w:hAnsi="Calibri"/>
          <w:b/>
          <w:color w:val="000000"/>
          <w:sz w:val="36"/>
        </w:rPr>
        <w:t>Education &amp; Training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MSc/BSc in Microbiology/Related Pathology Discipline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Diploma in Professional Development (Middlesex University)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Certified in Lead Auditing, IVD Regulatory Frameworks, and High-Containment Safety.</w:t>
      </w:r>
    </w:p>
    <w:sectPr w:rsidR="00FC693F" w:rsidRPr="0006063C" w:rsidSect="00034616">
      <w:pgSz w:w="12240" w:h="15840"/>
      <w:pgMar w:top="1134" w:right="2268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