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Rehan A. Minhas</w:t>
      </w:r>
    </w:p>
    <w:p>
      <w:pPr>
        <w:jc w:val="center"/>
      </w:pPr>
      <w:r>
        <w:t>Edgware, Middlesex | 07443 524 686 | rehan.minhas@hotmail.co.uk</w:t>
      </w:r>
    </w:p>
    <w:p>
      <w:pPr>
        <w:pStyle w:val="Heading1"/>
      </w:pPr>
      <w:r>
        <w:t>Personal Profile</w:t>
      </w:r>
    </w:p>
    <w:p>
      <w:r>
        <w:t>Authoritative Strategic Scientific Leader with 15+ years of high-stakes laboratory expertise. Spearheaded global diagnostic harmonization (WHO) and architected regulatory-compliant biomanufacturing systems (MHRA). Expert in translating complex experimental data into definitive public health policy. Demonstrated success in leading multidisciplinary teams through mission-critical digital transformations and zero-non-conformity audits (UKAS/GMP).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Strategic Molecular Diagnostics (RT-qPCR, ddPCR, NAATs)</w:t>
      </w:r>
    </w:p>
    <w:p>
      <w:pPr>
        <w:pStyle w:val="ListBullet"/>
      </w:pPr>
      <w:r>
        <w:t>Regulatory Orchestration (ISO 13485, IVDR, GMP, FDA)</w:t>
      </w:r>
    </w:p>
    <w:p>
      <w:pPr>
        <w:pStyle w:val="ListBullet"/>
      </w:pPr>
      <w:r>
        <w:t>Global Standardization &amp; WHO Technical Reporting</w:t>
      </w:r>
    </w:p>
    <w:p>
      <w:pPr>
        <w:pStyle w:val="ListBullet"/>
      </w:pPr>
      <w:r>
        <w:t>Clinical Laboratory Validation &amp; Change Management</w:t>
      </w:r>
    </w:p>
    <w:p>
      <w:pPr>
        <w:pStyle w:val="ListBullet"/>
      </w:pPr>
      <w:r>
        <w:t>Quality Governance (UKAS/CPA Lead Auditing)</w:t>
      </w:r>
    </w:p>
    <w:p>
      <w:pPr>
        <w:pStyle w:val="ListBullet"/>
      </w:pPr>
      <w:r>
        <w:t>High-Containment Pathogen Operations (CL3/SAPO4/Schedule 5)</w:t>
      </w:r>
    </w:p>
    <w:p>
      <w:pPr>
        <w:pStyle w:val="Heading1"/>
      </w:pPr>
      <w:r>
        <w:t>Professional Experience</w:t>
      </w:r>
    </w:p>
    <w:p>
      <w:r>
        <w:rPr>
          <w:b/>
        </w:rPr>
        <w:t>Senior Laboratory Scientist | Anthony Nolan Research Institute</w:t>
      </w:r>
    </w:p>
    <w:p>
      <w:r>
        <w:t>Aug 2023 – Feb 2024</w:t>
      </w:r>
    </w:p>
    <w:p>
      <w:pPr>
        <w:pStyle w:val="ListBullet"/>
      </w:pPr>
      <w:r>
        <w:t>Orchestrated ABO blood-group testing optimization on the Immunocor Echo platform, reducing error rates by 66% through comprehensive protocol standardization.</w:t>
      </w:r>
    </w:p>
    <w:p>
      <w:pPr>
        <w:pStyle w:val="ListBullet"/>
      </w:pPr>
      <w:r>
        <w:t>Led the implementation and evaluation of new instrumentation for virological screening (HIV, HBV, HCV, CMV), including the Diasorin Liaison XL chemiluminescent ELISA analyser.</w:t>
      </w:r>
    </w:p>
    <w:p>
      <w:pPr>
        <w:pStyle w:val="ListBullet"/>
      </w:pPr>
      <w:r>
        <w:t>Spearheaded technical preparation for the 2024 UKAS audit, delivering zero major findings and a 25% throughput gain in technical services.</w:t>
      </w:r>
    </w:p>
    <w:p>
      <w:r>
        <w:rPr>
          <w:b/>
        </w:rPr>
        <w:t>Scientist (HEO), Infectious Disease Diagnostics | NIBSC (MHRA)</w:t>
      </w:r>
    </w:p>
    <w:p>
      <w:r>
        <w:t>Mar 2013 – Aug 2022</w:t>
      </w:r>
    </w:p>
    <w:p>
      <w:pPr>
        <w:pStyle w:val="ListBullet"/>
      </w:pPr>
      <w:r>
        <w:t>Managed end-to-end production of CE-marked IVDs under ISO 13485/GMP, including bulks preparation, filling, accelerated degradation and stability studies.</w:t>
      </w:r>
    </w:p>
    <w:p>
      <w:pPr>
        <w:pStyle w:val="ListBullet"/>
      </w:pPr>
      <w:r>
        <w:t>Led WHO NAT standardization projects, coordinating global multicentre collaborative studies involving 32 institutions across 24 countries. Co-authored four definitive WHO Technical Reports.</w:t>
      </w:r>
    </w:p>
    <w:p>
      <w:pPr>
        <w:pStyle w:val="ListBullet"/>
      </w:pPr>
      <w:r>
        <w:t>Architected the refurbishment of SAPO4 Schedule 5-compliant CL3 laboratories for West Nile Virus standard production, integrating Paul Ehrlich Institute calibrants.</w:t>
      </w:r>
    </w:p>
    <w:p>
      <w:pPr>
        <w:pStyle w:val="ListBullet"/>
      </w:pPr>
      <w:r>
        <w:t>Performed OCABR batch release screening to ISO 17025 using Roche Cobas 6800 systems; introduced ddPCR for enhanced viral quantification sensitivity.</w:t>
      </w:r>
    </w:p>
    <w:p>
      <w:pPr>
        <w:pStyle w:val="ListBullet"/>
      </w:pPr>
      <w:r>
        <w:t>Directed research projects in freeze-drying stability formulations and LATE PCR assay development/validation.</w:t>
      </w:r>
    </w:p>
    <w:p>
      <w:r>
        <w:rPr>
          <w:b/>
        </w:rPr>
        <w:t>Healthcare Scientist Practitioner | UKHSA (Colindale)</w:t>
      </w:r>
    </w:p>
    <w:p>
      <w:r>
        <w:t>Jan 2010 – Jan 2011</w:t>
      </w:r>
    </w:p>
    <w:p>
      <w:pPr>
        <w:pStyle w:val="ListBullet"/>
      </w:pPr>
      <w:r>
        <w:t>Delivered high-volume RT-qPCR diagnostics for H1N1 pandemic response under CPA standards. Authored emergency SOPs and trained 12 staff members to maintain diagnostic continuity.</w:t>
      </w:r>
    </w:p>
    <w:p>
      <w:pPr>
        <w:pStyle w:val="Heading1"/>
      </w:pPr>
      <w:r>
        <w:t>Selected Publications</w:t>
      </w:r>
    </w:p>
    <w:p>
      <w:pPr>
        <w:pStyle w:val="ListBullet"/>
      </w:pPr>
      <w:r>
        <w:t>1st WHO International Standard for West Nile Virus RNA (WHO/BS/2020.2397)</w:t>
      </w:r>
    </w:p>
    <w:p>
      <w:pPr>
        <w:pStyle w:val="ListBullet"/>
      </w:pPr>
      <w:r>
        <w:t>1st WHO International Standard for Herpes Simplex Virus DNA (WHO/BS/2020.239)</w:t>
      </w:r>
    </w:p>
    <w:p>
      <w:pPr>
        <w:pStyle w:val="ListBullet"/>
      </w:pPr>
      <w:r>
        <w:t>2nd WHO International Standard for HIV-2 for NAT (WHO/BS/2018.2343)</w:t>
      </w:r>
    </w:p>
    <w:p>
      <w:pPr>
        <w:pStyle w:val="ListBullet"/>
      </w:pPr>
      <w:r>
        <w:t>3rd WHO International Standard for Hepatitis A Virus for NAT (WHO/BS/2017.2308)</w:t>
      </w:r>
    </w:p>
    <w:p>
      <w:pPr>
        <w:pStyle w:val="Heading1"/>
      </w:pPr>
      <w:r>
        <w:t>Education &amp; Training</w:t>
      </w:r>
    </w:p>
    <w:p>
      <w:r>
        <w:t>MSc/BSc in Microbiology/Related Pathology Discipline</w:t>
      </w:r>
    </w:p>
    <w:p>
      <w:r>
        <w:t>Diploma in Professional Development (Middlesex University)</w:t>
      </w:r>
    </w:p>
    <w:p>
      <w:r>
        <w:t>Certified in Lead Auditing, IVD Regulatory Frameworks, and High-Containment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