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9749"/>
            <w:shd w:fill="166534"/>
          </w:tcPr>
          <w:p>
            <w:pPr>
              <w:spacing w:before="200" w:after="200"/>
              <w:jc w:val="center"/>
            </w:pPr>
            <w:r>
              <w:rPr>
                <w:rFonts w:ascii="Arial" w:hAnsi="Arial"/>
                <w:b/>
                <w:i w:val="0"/>
                <w:color w:val="FFFFFF"/>
                <w:sz w:val="34"/>
              </w:rPr>
              <w:t>RAPID FORGE BUILDATHON</w:t>
            </w:r>
          </w:p>
        </w:tc>
      </w:tr>
    </w:tbl>
    <w:p>
      <w:pPr>
        <w:spacing w:before="240" w:after="40"/>
        <w:jc w:val="center"/>
      </w:pPr>
      <w:r>
        <w:rPr>
          <w:rFonts w:ascii="Arial" w:hAnsi="Arial"/>
          <w:b/>
          <w:i w:val="0"/>
          <w:color w:val="14532D"/>
          <w:sz w:val="60"/>
        </w:rPr>
        <w:t>COOLSHIFT</w:t>
      </w:r>
    </w:p>
    <w:p>
      <w:pPr>
        <w:spacing w:after="120"/>
        <w:jc w:val="center"/>
      </w:pPr>
      <w:r>
        <w:rPr>
          <w:rFonts w:ascii="Arial" w:hAnsi="Arial"/>
          <w:b/>
          <w:i w:val="0"/>
          <w:color w:val="F59E0B"/>
          <w:sz w:val="34"/>
        </w:rPr>
        <w:t>READ ME FIRST</w:t>
      </w:r>
    </w:p>
    <w:p>
      <w:pPr>
        <w:jc w:val="center"/>
      </w:pPr>
      <w:r>
        <w:rPr>
          <w:rFonts w:ascii="Arial" w:hAnsi="Arial"/>
          <w:b/>
          <w:i w:val="0"/>
          <w:color w:val="1F2937"/>
          <w:sz w:val="22"/>
        </w:rPr>
        <w:t>Participant Pack Orientation and Quick-Start Guide</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insideH w:val="single" w:sz="8" w:color="166534"/>
              <w:insideV w:val="single" w:sz="8" w:color="166534"/>
            </w:tcBorders>
          </w:tcPr>
          <w:p>
            <w:pPr>
              <w:spacing w:before="60" w:after="60"/>
            </w:pPr>
            <w:r>
              <w:rPr>
                <w:rFonts w:ascii="Arial" w:hAnsi="Arial"/>
                <w:b/>
                <w:i w:val="0"/>
                <w:color w:val="14532D"/>
                <w:sz w:val="21"/>
              </w:rPr>
              <w:t>Purpose of this file</w:t>
              <w:br/>
            </w:r>
            <w:r>
              <w:rPr>
                <w:rFonts w:ascii="Arial" w:hAnsi="Arial"/>
                <w:b w:val="0"/>
                <w:i w:val="0"/>
                <w:color w:val="1F2937"/>
                <w:sz w:val="19"/>
              </w:rPr>
              <w:t>Begin here before opening the challenge documents or dataset. This guide explains what each file contains, the order in which it should be read, what data is provided, what your team must generate, and what must be submitted.</w:t>
            </w:r>
          </w:p>
        </w:tc>
      </w:tr>
    </w:tbl>
    <w:p>
      <w:pPr>
        <w:pStyle w:val="Heading1"/>
      </w:pPr>
      <w:r>
        <w:t>1. Package Contents</w:t>
      </w:r>
    </w:p>
    <w:tbl>
      <w:tblPr>
        <w:tblW w:type="auto" w:w="0"/>
        <w:jc w:val="center"/>
        <w:tblLayout w:type="fixed"/>
        <w:tblLook w:firstColumn="1" w:firstRow="1" w:lastColumn="0" w:lastRow="0" w:noHBand="0" w:noVBand="1" w:val="04A0"/>
      </w:tblPr>
      <w:tblGrid>
        <w:gridCol w:w="3250"/>
        <w:gridCol w:w="3250"/>
        <w:gridCol w:w="3250"/>
      </w:tblGrid>
      <w:tr>
        <w:trPr>
          <w:tblHeader w:val="true"/>
        </w:trPr>
        <w:tc>
          <w:tcPr>
            <w:tcW w:type="dxa" w:w="3168"/>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File</w:t>
            </w:r>
          </w:p>
        </w:tc>
        <w:tc>
          <w:tcPr>
            <w:tcW w:type="dxa" w:w="3600"/>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Purpose</w:t>
            </w:r>
          </w:p>
        </w:tc>
        <w:tc>
          <w:tcPr>
            <w:tcW w:type="dxa" w:w="2808"/>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When to use it</w:t>
            </w:r>
          </w:p>
        </w:tc>
      </w:tr>
      <w:tr>
        <w:tc>
          <w:tcPr>
            <w:tcW w:type="dxa" w:w="316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00_READ_ME_FIRST.docx</w:t>
            </w:r>
          </w:p>
        </w:tc>
        <w:tc>
          <w:tcPr>
            <w:tcW w:type="dxa" w:w="360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Orientation, file map, quick-start steps and final checklist.</w:t>
            </w:r>
          </w:p>
        </w:tc>
        <w:tc>
          <w:tcPr>
            <w:tcW w:type="dxa" w:w="280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Read before all other files.</w:t>
            </w:r>
          </w:p>
        </w:tc>
      </w:tr>
      <w:tr>
        <w:tc>
          <w:tcPr>
            <w:tcW w:type="dxa" w:w="316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01_CoolShift_Participant_Challenge_Handbook.docx</w:t>
            </w:r>
          </w:p>
        </w:tc>
        <w:tc>
          <w:tcPr>
            <w:tcW w:type="dxa" w:w="360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The problem, objectives, mandatory product workflow, features and challenge rules.</w:t>
            </w:r>
          </w:p>
        </w:tc>
        <w:tc>
          <w:tcPr>
            <w:tcW w:type="dxa" w:w="280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Read first as a team and use for scope decisions.</w:t>
            </w:r>
          </w:p>
        </w:tc>
      </w:tr>
      <w:tr>
        <w:tc>
          <w:tcPr>
            <w:tcW w:type="dxa" w:w="316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02_CoolShift_Technical_and_Data_Specification.docx</w:t>
            </w:r>
          </w:p>
        </w:tc>
        <w:tc>
          <w:tcPr>
            <w:tcW w:type="dxa" w:w="360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Input schemas, units, validation, calculation requirements, constraints and output formats.</w:t>
            </w:r>
          </w:p>
        </w:tc>
        <w:tc>
          <w:tcPr>
            <w:tcW w:type="dxa" w:w="280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Keep open while designing the data model and optimization engine.</w:t>
            </w:r>
          </w:p>
        </w:tc>
      </w:tr>
      <w:tr>
        <w:tc>
          <w:tcPr>
            <w:tcW w:type="dxa" w:w="316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03_CoolShift_Submission_Testing_and_Evaluation_Guide.docx</w:t>
            </w:r>
          </w:p>
        </w:tc>
        <w:tc>
          <w:tcPr>
            <w:tcW w:type="dxa" w:w="360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Submission requirements, testing stages, acceptance tests, hidden testing and scoring.</w:t>
            </w:r>
          </w:p>
        </w:tc>
        <w:tc>
          <w:tcPr>
            <w:tcW w:type="dxa" w:w="280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Use throughout development and before final submission.</w:t>
            </w:r>
          </w:p>
        </w:tc>
      </w:tr>
      <w:tr>
        <w:tc>
          <w:tcPr>
            <w:tcW w:type="dxa" w:w="316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04_CoolShift_Public_Dataset_and_Templates.xlsx</w:t>
            </w:r>
          </w:p>
        </w:tc>
        <w:tc>
          <w:tcPr>
            <w:tcW w:type="dxa" w:w="360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Three public scenarios, 8,640 interval inputs, baseline data, validation cases and required templates.</w:t>
            </w:r>
          </w:p>
        </w:tc>
        <w:tc>
          <w:tcPr>
            <w:tcW w:type="dxa" w:w="280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Import into the platform and use for development, testing and output export.</w:t>
            </w:r>
          </w:p>
        </w:tc>
      </w:tr>
    </w:tbl>
    <w:tbl>
      <w:tblPr>
        <w:tblW w:type="auto" w:w="0"/>
        <w:jc w:val="center"/>
        <w:tblLayout w:type="fixed"/>
        <w:tblLook w:firstColumn="1" w:firstRow="1" w:lastColumn="0" w:lastRow="0" w:noHBand="0" w:noVBand="1" w:val="04A0"/>
      </w:tblPr>
      <w:tblGrid>
        <w:gridCol w:w="9576"/>
      </w:tblGrid>
      <w:tr>
        <w:tc>
          <w:tcPr>
            <w:tcW w:type="dxa" w:w="9749"/>
            <w:shd w:fill="FEF3C7"/>
            <w:tcBorders>
              <w:top w:val="single" w:sz="8" w:color="F59E0B"/>
              <w:left w:val="single" w:sz="8" w:color="F59E0B"/>
              <w:bottom w:val="single" w:sz="8" w:color="F59E0B"/>
              <w:right w:val="single" w:sz="8" w:color="F59E0B"/>
              <w:insideH w:val="single" w:sz="8" w:color="F59E0B"/>
              <w:insideV w:val="single" w:sz="8" w:color="F59E0B"/>
            </w:tcBorders>
          </w:tcPr>
          <w:p>
            <w:pPr>
              <w:spacing w:before="60" w:after="60"/>
            </w:pPr>
            <w:r>
              <w:rPr>
                <w:rFonts w:ascii="Arial" w:hAnsi="Arial"/>
                <w:b/>
                <w:i w:val="0"/>
                <w:color w:val="1F2937"/>
                <w:sz w:val="21"/>
              </w:rPr>
              <w:t>Important</w:t>
              <w:br/>
            </w:r>
            <w:r>
              <w:rPr>
                <w:rFonts w:ascii="Arial" w:hAnsi="Arial"/>
                <w:b w:val="0"/>
                <w:i w:val="0"/>
                <w:color w:val="1F2937"/>
                <w:sz w:val="19"/>
              </w:rPr>
              <w:t>The Excel workbook also contains a sheet named README. Use that sheet for workbook-specific instructions and this document for the complete participant-pack workflow.</w:t>
            </w:r>
          </w:p>
        </w:tc>
      </w:tr>
    </w:tbl>
    <w:p>
      <w:pPr>
        <w:pStyle w:val="Heading1"/>
      </w:pPr>
      <w:r>
        <w:t>2. Recommended Reading Order</w:t>
      </w:r>
    </w:p>
    <w:p>
      <w:pPr>
        <w:spacing w:after="100"/>
        <w:ind w:left="403" w:hanging="403"/>
      </w:pPr>
      <w:r>
        <w:rPr>
          <w:rFonts w:ascii="Arial" w:hAnsi="Arial"/>
          <w:b/>
          <w:i w:val="0"/>
          <w:color w:val="14532D"/>
          <w:sz w:val="20"/>
        </w:rPr>
        <w:t xml:space="preserve">1. Read the Challenge Handbook: </w:t>
      </w:r>
      <w:r>
        <w:rPr>
          <w:rFonts w:ascii="Arial" w:hAnsi="Arial"/>
          <w:b w:val="0"/>
          <w:i w:val="0"/>
          <w:color w:val="1F2937"/>
          <w:sz w:val="20"/>
        </w:rPr>
        <w:t>Understand the real-world problem, target outcomes and mandatory workflow before selecting technologies.</w:t>
      </w:r>
    </w:p>
    <w:p>
      <w:pPr>
        <w:spacing w:after="100"/>
        <w:ind w:left="403" w:hanging="403"/>
      </w:pPr>
      <w:r>
        <w:rPr>
          <w:rFonts w:ascii="Arial" w:hAnsi="Arial"/>
          <w:b/>
          <w:i w:val="0"/>
          <w:color w:val="14532D"/>
          <w:sz w:val="20"/>
        </w:rPr>
        <w:t xml:space="preserve">2. Read the Technical Specification: </w:t>
      </w:r>
      <w:r>
        <w:rPr>
          <w:rFonts w:ascii="Arial" w:hAnsi="Arial"/>
          <w:b w:val="0"/>
          <w:i w:val="0"/>
          <w:color w:val="1F2937"/>
          <w:sz w:val="20"/>
        </w:rPr>
        <w:t>Design your database, imports, calculations, optimization logic and output files against the required fields and units.</w:t>
      </w:r>
    </w:p>
    <w:p>
      <w:pPr>
        <w:spacing w:after="100"/>
        <w:ind w:left="403" w:hanging="403"/>
      </w:pPr>
      <w:r>
        <w:rPr>
          <w:rFonts w:ascii="Arial" w:hAnsi="Arial"/>
          <w:b/>
          <w:i w:val="0"/>
          <w:color w:val="14532D"/>
          <w:sz w:val="20"/>
        </w:rPr>
        <w:t xml:space="preserve">3. Inspect the Public Dataset: </w:t>
      </w:r>
      <w:r>
        <w:rPr>
          <w:rFonts w:ascii="Arial" w:hAnsi="Arial"/>
          <w:b w:val="0"/>
          <w:i w:val="0"/>
          <w:color w:val="1F2937"/>
          <w:sz w:val="20"/>
        </w:rPr>
        <w:t>Review the README, Data_Dictionary, Scenario_Profiles, Appliances, Energy_Assets and Interval_Inputs sheets before writing import code.</w:t>
      </w:r>
    </w:p>
    <w:p>
      <w:pPr>
        <w:spacing w:after="100"/>
        <w:ind w:left="403" w:hanging="403"/>
      </w:pPr>
      <w:r>
        <w:rPr>
          <w:rFonts w:ascii="Arial" w:hAnsi="Arial"/>
          <w:b/>
          <w:i w:val="0"/>
          <w:color w:val="14532D"/>
          <w:sz w:val="20"/>
        </w:rPr>
        <w:t xml:space="preserve">4. Read the Testing Guide: </w:t>
      </w:r>
      <w:r>
        <w:rPr>
          <w:rFonts w:ascii="Arial" w:hAnsi="Arial"/>
          <w:b w:val="0"/>
          <w:i w:val="0"/>
          <w:color w:val="1F2937"/>
          <w:sz w:val="20"/>
        </w:rPr>
        <w:t>Turn every acceptance test into a development checklist. Do not leave testing until the final hours.</w:t>
      </w:r>
    </w:p>
    <w:p>
      <w:pPr>
        <w:spacing w:after="100"/>
        <w:ind w:left="403" w:hanging="403"/>
      </w:pPr>
      <w:r>
        <w:rPr>
          <w:rFonts w:ascii="Arial" w:hAnsi="Arial"/>
          <w:b/>
          <w:i w:val="0"/>
          <w:color w:val="14532D"/>
          <w:sz w:val="20"/>
        </w:rPr>
        <w:t xml:space="preserve">5. Build and verify: </w:t>
      </w:r>
      <w:r>
        <w:rPr>
          <w:rFonts w:ascii="Arial" w:hAnsi="Arial"/>
          <w:b w:val="0"/>
          <w:i w:val="0"/>
          <w:color w:val="1F2937"/>
          <w:sz w:val="20"/>
        </w:rPr>
        <w:t>Process all public inputs, produce required outputs, create the custom scenario and test the application with changed values.</w:t>
      </w:r>
    </w:p>
    <w:p>
      <w:pPr>
        <w:pStyle w:val="Heading1"/>
      </w:pPr>
      <w:r>
        <w:t>3. What the Organizer Provides</w:t>
      </w:r>
    </w:p>
    <w:p>
      <w:pPr>
        <w:pStyle w:val="ListBullet"/>
        <w:spacing w:after="60"/>
      </w:pPr>
      <w:r>
        <w:rPr>
          <w:rFonts w:ascii="Arial" w:hAnsi="Arial"/>
          <w:b w:val="0"/>
          <w:i w:val="0"/>
          <w:color w:val="1F2937"/>
          <w:sz w:val="20"/>
        </w:rPr>
        <w:t>Three standardized public scenarios for fair comparison.</w:t>
      </w:r>
    </w:p>
    <w:p>
      <w:pPr>
        <w:pStyle w:val="ListBullet"/>
        <w:spacing w:after="60"/>
      </w:pPr>
      <w:r>
        <w:rPr>
          <w:rFonts w:ascii="Arial" w:hAnsi="Arial"/>
          <w:b w:val="0"/>
          <w:i w:val="0"/>
          <w:color w:val="1F2937"/>
          <w:sz w:val="20"/>
        </w:rPr>
        <w:t>Thirty days of data per scenario at 15-minute resolution.</w:t>
      </w:r>
    </w:p>
    <w:p>
      <w:pPr>
        <w:pStyle w:val="ListBullet"/>
        <w:spacing w:after="60"/>
      </w:pPr>
      <w:r>
        <w:rPr>
          <w:rFonts w:ascii="Arial" w:hAnsi="Arial"/>
          <w:b w:val="0"/>
          <w:i w:val="0"/>
          <w:color w:val="1F2937"/>
          <w:sz w:val="20"/>
        </w:rPr>
        <w:t>A total of 8,640 public interval-input records.</w:t>
      </w:r>
    </w:p>
    <w:p>
      <w:pPr>
        <w:pStyle w:val="ListBullet"/>
        <w:spacing w:after="60"/>
      </w:pPr>
      <w:r>
        <w:rPr>
          <w:rFonts w:ascii="Arial" w:hAnsi="Arial"/>
          <w:b w:val="0"/>
          <w:i w:val="0"/>
          <w:color w:val="1F2937"/>
          <w:sz w:val="20"/>
        </w:rPr>
        <w:t>Building profiles, appliances, energy assets and baseline schedules.</w:t>
      </w:r>
    </w:p>
    <w:p>
      <w:pPr>
        <w:pStyle w:val="ListBullet"/>
        <w:spacing w:after="60"/>
      </w:pPr>
      <w:r>
        <w:rPr>
          <w:rFonts w:ascii="Arial" w:hAnsi="Arial"/>
          <w:b w:val="0"/>
          <w:i w:val="0"/>
          <w:color w:val="1F2937"/>
          <w:sz w:val="20"/>
        </w:rPr>
        <w:t>Validation cases, reason codes, a data dictionary and output templates.</w:t>
      </w:r>
    </w:p>
    <w:p>
      <w:pPr>
        <w:pStyle w:val="ListBullet"/>
        <w:spacing w:after="60"/>
      </w:pPr>
      <w:r>
        <w:rPr>
          <w:rFonts w:ascii="Arial" w:hAnsi="Arial"/>
          <w:b w:val="0"/>
          <w:i w:val="0"/>
          <w:color w:val="1F2937"/>
          <w:sz w:val="20"/>
        </w:rPr>
        <w:t>Unseen judge cases that will only be provided during final evaluation.</w:t>
      </w:r>
    </w:p>
    <w:p>
      <w:pPr>
        <w:pStyle w:val="Heading1"/>
      </w:pPr>
      <w:r>
        <w:t>4. Is Data Generation Part of the Challenge?</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insideH w:val="single" w:sz="8" w:color="166534"/>
              <w:insideV w:val="single" w:sz="8" w:color="166534"/>
            </w:tcBorders>
          </w:tcPr>
          <w:p>
            <w:pPr>
              <w:spacing w:before="60" w:after="60"/>
            </w:pPr>
            <w:r>
              <w:rPr>
                <w:rFonts w:ascii="Arial" w:hAnsi="Arial"/>
                <w:b/>
                <w:i w:val="0"/>
                <w:color w:val="14532D"/>
                <w:sz w:val="21"/>
              </w:rPr>
              <w:t>Decision: Partly</w:t>
              <w:br/>
            </w:r>
            <w:r>
              <w:rPr>
                <w:rFonts w:ascii="Arial" w:hAnsi="Arial"/>
                <w:b w:val="0"/>
                <w:i w:val="0"/>
                <w:color w:val="1F2937"/>
                <w:sz w:val="19"/>
              </w:rPr>
              <w:t>Your team does not generate the main benchmark dataset. You must import and validate the organizer-supplied data and also create one original seven-day scenario to prove that the platform accepts new, properly structured information.</w:t>
            </w:r>
          </w:p>
        </w:tc>
      </w:tr>
    </w:tbl>
    <w:tbl>
      <w:tblPr>
        <w:tblW w:type="auto" w:w="0"/>
        <w:jc w:val="center"/>
        <w:tblLayout w:type="fixed"/>
        <w:tblLook w:firstColumn="1" w:firstRow="1" w:lastColumn="0" w:lastRow="0" w:noHBand="0" w:noVBand="1" w:val="04A0"/>
      </w:tblPr>
      <w:tblGrid>
        <w:gridCol w:w="4874"/>
        <w:gridCol w:w="4874"/>
      </w:tblGrid>
      <w:tr>
        <w:trPr>
          <w:tblHeader w:val="true"/>
        </w:trPr>
        <w:tc>
          <w:tcPr>
            <w:tcW w:type="dxa" w:w="3816"/>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Responsibility</w:t>
            </w:r>
          </w:p>
        </w:tc>
        <w:tc>
          <w:tcPr>
            <w:tcW w:type="dxa" w:w="5760"/>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Minimum requirement</w:t>
            </w:r>
          </w:p>
        </w:tc>
      </w:tr>
      <w:tr>
        <w:tc>
          <w:tcPr>
            <w:tcW w:type="dxa" w:w="381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Organizer-supplied public input</w:t>
            </w:r>
          </w:p>
        </w:tc>
        <w:tc>
          <w:tcPr>
            <w:tcW w:type="dxa" w:w="576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3 scenarios × 30 days × 96 intervals = 8,640 records</w:t>
            </w:r>
          </w:p>
        </w:tc>
      </w:tr>
      <w:tr>
        <w:tc>
          <w:tcPr>
            <w:tcW w:type="dxa" w:w="381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Team-created custom input</w:t>
            </w:r>
          </w:p>
        </w:tc>
        <w:tc>
          <w:tcPr>
            <w:tcW w:type="dxa" w:w="576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1 scenario × 7 days × 96 intervals = 672 records</w:t>
            </w:r>
          </w:p>
        </w:tc>
      </w:tr>
      <w:tr>
        <w:tc>
          <w:tcPr>
            <w:tcW w:type="dxa" w:w="381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Required submitted schedule outputs</w:t>
            </w:r>
          </w:p>
        </w:tc>
        <w:tc>
          <w:tcPr>
            <w:tcW w:type="dxa" w:w="576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Three selected seven-day public outputs plus one seven-day custom output = 2,688 interval rows</w:t>
            </w:r>
          </w:p>
        </w:tc>
      </w:tr>
      <w:tr>
        <w:tc>
          <w:tcPr>
            <w:tcW w:type="dxa" w:w="381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Live hidden-case output</w:t>
            </w:r>
          </w:p>
        </w:tc>
        <w:tc>
          <w:tcPr>
            <w:tcW w:type="dxa" w:w="576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One 24-hour unseen case = 96 interval recommendations</w:t>
            </w:r>
          </w:p>
        </w:tc>
      </w:tr>
    </w:tbl>
    <w:p>
      <w:r>
        <w:rPr>
          <w:rFonts w:ascii="Arial" w:hAnsi="Arial"/>
          <w:b w:val="0"/>
          <w:i w:val="0"/>
          <w:color w:val="1F2937"/>
          <w:sz w:val="20"/>
        </w:rPr>
        <w:t xml:space="preserve">Your custom scenario may use </w:t>
      </w:r>
      <w:r>
        <w:rPr>
          <w:rFonts w:ascii="Arial" w:hAnsi="Arial"/>
          <w:b/>
          <w:i w:val="0"/>
          <w:color w:val="14532D"/>
          <w:sz w:val="20"/>
        </w:rPr>
        <w:t>API data, an open dataset, manually structured realistic values, synthetic data, or a combination</w:t>
      </w:r>
      <w:r>
        <w:rPr>
          <w:rFonts w:ascii="Arial" w:hAnsi="Arial"/>
          <w:b w:val="0"/>
          <w:i w:val="0"/>
          <w:color w:val="1F2937"/>
          <w:sz w:val="20"/>
        </w:rPr>
        <w:t>. You must identify the source and explain the generation or cleaning method. Synthetic generation must be reproducible, including a fixed random seed where applicable.</w:t>
      </w:r>
    </w:p>
    <w:p>
      <w:pPr>
        <w:pStyle w:val="Heading1"/>
      </w:pPr>
      <w:r>
        <w:t>5. What Does “Optimized” Mean?</w:t>
      </w:r>
    </w:p>
    <w:p>
      <w:r>
        <w:t>A large dataset or a large claimed saving does not by itself prove optimization. Judges will first verify that the schedule is feasible and safe. The platform must:</w:t>
      </w:r>
    </w:p>
    <w:p>
      <w:pPr>
        <w:pStyle w:val="ListBullet"/>
        <w:spacing w:after="60"/>
      </w:pPr>
      <w:r>
        <w:rPr>
          <w:rFonts w:ascii="Arial" w:hAnsi="Arial"/>
          <w:b w:val="0"/>
          <w:i w:val="0"/>
          <w:color w:val="1F2937"/>
          <w:sz w:val="20"/>
        </w:rPr>
        <w:t>Compare an explicit baseline with an optimized schedule.</w:t>
      </w:r>
    </w:p>
    <w:p>
      <w:pPr>
        <w:pStyle w:val="ListBullet"/>
        <w:spacing w:after="60"/>
      </w:pPr>
      <w:r>
        <w:rPr>
          <w:rFonts w:ascii="Arial" w:hAnsi="Arial"/>
          <w:b w:val="0"/>
          <w:i w:val="0"/>
          <w:color w:val="1F2937"/>
          <w:sz w:val="20"/>
        </w:rPr>
        <w:t>Respect grid outages, appliance limits, battery capacity and reserve constraints.</w:t>
      </w:r>
    </w:p>
    <w:p>
      <w:pPr>
        <w:pStyle w:val="ListBullet"/>
        <w:spacing w:after="60"/>
      </w:pPr>
      <w:r>
        <w:rPr>
          <w:rFonts w:ascii="Arial" w:hAnsi="Arial"/>
          <w:b w:val="0"/>
          <w:i w:val="0"/>
          <w:color w:val="1F2937"/>
          <w:sz w:val="20"/>
        </w:rPr>
        <w:t>Report comfort or safety for every occupied interval.</w:t>
      </w:r>
    </w:p>
    <w:p>
      <w:pPr>
        <w:pStyle w:val="ListBullet"/>
        <w:spacing w:after="60"/>
      </w:pPr>
      <w:r>
        <w:rPr>
          <w:rFonts w:ascii="Arial" w:hAnsi="Arial"/>
          <w:b w:val="0"/>
          <w:i w:val="0"/>
          <w:color w:val="1F2937"/>
          <w:sz w:val="20"/>
        </w:rPr>
        <w:t>Calculate energy, cost, peak demand, clean-energy use and emissions consistently.</w:t>
      </w:r>
    </w:p>
    <w:p>
      <w:pPr>
        <w:pStyle w:val="ListBullet"/>
        <w:spacing w:after="60"/>
      </w:pPr>
      <w:r>
        <w:rPr>
          <w:rFonts w:ascii="Arial" w:hAnsi="Arial"/>
          <w:b w:val="0"/>
          <w:i w:val="0"/>
          <w:color w:val="1F2937"/>
          <w:sz w:val="20"/>
        </w:rPr>
        <w:t>Recalculate when inputs change and process an unseen judge case without source-code modification.</w:t>
      </w:r>
    </w:p>
    <w:p>
      <w:pPr>
        <w:pStyle w:val="ListBullet"/>
        <w:spacing w:after="60"/>
      </w:pPr>
      <w:r>
        <w:rPr>
          <w:rFonts w:ascii="Arial" w:hAnsi="Arial"/>
          <w:b w:val="0"/>
          <w:i w:val="0"/>
          <w:color w:val="1F2937"/>
          <w:sz w:val="20"/>
        </w:rPr>
        <w:t>Explain important recommendations and declare infeasibility when full comfort cannot be achieved.</w:t>
      </w:r>
    </w:p>
    <w:p>
      <w:pPr>
        <w:pStyle w:val="Heading1"/>
      </w:pPr>
      <w:r>
        <w:t>6. 48-Hour Quick-Start Workflow</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1944"/>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Stage</w:t>
            </w:r>
          </w:p>
        </w:tc>
        <w:tc>
          <w:tcPr>
            <w:tcW w:type="dxa" w:w="7632"/>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Suggested focus</w:t>
            </w:r>
          </w:p>
        </w:tc>
      </w:tr>
      <w:tr>
        <w:tc>
          <w:tcPr>
            <w:tcW w:type="dxa" w:w="1944"/>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0–4</w:t>
            </w:r>
          </w:p>
        </w:tc>
        <w:tc>
          <w:tcPr>
            <w:tcW w:type="dxa" w:w="7632"/>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Read requirements, assign roles, inspect schemas, agree on architecture and optimization approach.</w:t>
            </w:r>
          </w:p>
        </w:tc>
      </w:tr>
      <w:tr>
        <w:tc>
          <w:tcPr>
            <w:tcW w:type="dxa" w:w="1944"/>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4–12</w:t>
            </w:r>
          </w:p>
        </w:tc>
        <w:tc>
          <w:tcPr>
            <w:tcW w:type="dxa" w:w="7632"/>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Build import/validation, data model, baseline calculations and the first complete scenario pipeline.</w:t>
            </w:r>
          </w:p>
        </w:tc>
      </w:tr>
      <w:tr>
        <w:tc>
          <w:tcPr>
            <w:tcW w:type="dxa" w:w="1944"/>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12–24</w:t>
            </w:r>
          </w:p>
        </w:tc>
        <w:tc>
          <w:tcPr>
            <w:tcW w:type="dxa" w:w="7632"/>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Implement optimization, constraints, 24-hour/interval schedules and recalculation.</w:t>
            </w:r>
          </w:p>
        </w:tc>
      </w:tr>
      <w:tr>
        <w:tc>
          <w:tcPr>
            <w:tcW w:type="dxa" w:w="1944"/>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24–34</w:t>
            </w:r>
          </w:p>
        </w:tc>
        <w:tc>
          <w:tcPr>
            <w:tcW w:type="dxa" w:w="7632"/>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Build dashboards, comparisons, explanations, alerts, saving and export.</w:t>
            </w:r>
          </w:p>
        </w:tc>
      </w:tr>
      <w:tr>
        <w:tc>
          <w:tcPr>
            <w:tcW w:type="dxa" w:w="1944"/>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34–42</w:t>
            </w:r>
          </w:p>
        </w:tc>
        <w:tc>
          <w:tcPr>
            <w:tcW w:type="dxa" w:w="7632"/>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Process all scenarios, generate the custom scenario, run validation and edge cases.</w:t>
            </w:r>
          </w:p>
        </w:tc>
      </w:tr>
      <w:tr>
        <w:tc>
          <w:tcPr>
            <w:tcW w:type="dxa" w:w="1944"/>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Hours 42–48</w:t>
            </w:r>
          </w:p>
        </w:tc>
        <w:tc>
          <w:tcPr>
            <w:tcW w:type="dxa" w:w="7632"/>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Fix defects, finalize outputs/documentation, rehearse the hidden-case workflow and pitch.</w:t>
            </w:r>
          </w:p>
        </w:tc>
      </w:tr>
    </w:tbl>
    <w:p>
      <w:pPr>
        <w:pStyle w:val="Heading1"/>
      </w:pPr>
      <w:r>
        <w:t>7. Workbook Starting Points</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3888"/>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Open this sheet first</w:t>
            </w:r>
          </w:p>
        </w:tc>
        <w:tc>
          <w:tcPr>
            <w:tcW w:type="dxa" w:w="5688"/>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Why</w:t>
            </w:r>
          </w:p>
        </w:tc>
      </w:tr>
      <w:tr>
        <w:tc>
          <w:tcPr>
            <w:tcW w:type="dxa" w:w="38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README</w:t>
            </w:r>
          </w:p>
        </w:tc>
        <w:tc>
          <w:tcPr>
            <w:tcW w:type="dxa" w:w="56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Workbook instructions and summary.</w:t>
            </w:r>
          </w:p>
        </w:tc>
      </w:tr>
      <w:tr>
        <w:tc>
          <w:tcPr>
            <w:tcW w:type="dxa" w:w="38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Data_Dictionary</w:t>
            </w:r>
          </w:p>
        </w:tc>
        <w:tc>
          <w:tcPr>
            <w:tcW w:type="dxa" w:w="56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Definitions, units, types, allowed values and validation rules.</w:t>
            </w:r>
          </w:p>
        </w:tc>
      </w:tr>
      <w:tr>
        <w:tc>
          <w:tcPr>
            <w:tcW w:type="dxa" w:w="38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Scenario_Profiles</w:t>
            </w:r>
          </w:p>
        </w:tc>
        <w:tc>
          <w:tcPr>
            <w:tcW w:type="dxa" w:w="56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Building, comfort, budget and demand-limit information.</w:t>
            </w:r>
          </w:p>
        </w:tc>
      </w:tr>
      <w:tr>
        <w:tc>
          <w:tcPr>
            <w:tcW w:type="dxa" w:w="38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Appliances</w:t>
            </w:r>
          </w:p>
        </w:tc>
        <w:tc>
          <w:tcPr>
            <w:tcW w:type="dxa" w:w="56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Installed cooling equipment and technical limits.</w:t>
            </w:r>
          </w:p>
        </w:tc>
      </w:tr>
      <w:tr>
        <w:tc>
          <w:tcPr>
            <w:tcW w:type="dxa" w:w="38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Energy_Assets</w:t>
            </w:r>
          </w:p>
        </w:tc>
        <w:tc>
          <w:tcPr>
            <w:tcW w:type="dxa" w:w="56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Solar, battery and energy-resource information.</w:t>
            </w:r>
          </w:p>
        </w:tc>
      </w:tr>
      <w:tr>
        <w:tc>
          <w:tcPr>
            <w:tcW w:type="dxa" w:w="38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Interval_Inputs</w:t>
            </w:r>
          </w:p>
        </w:tc>
        <w:tc>
          <w:tcPr>
            <w:tcW w:type="dxa" w:w="56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Weather, occupancy, tariffs, carbon factors, outages and other 15-minute inputs.</w:t>
            </w:r>
          </w:p>
        </w:tc>
      </w:tr>
      <w:tr>
        <w:tc>
          <w:tcPr>
            <w:tcW w:type="dxa" w:w="38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Baseline_Schedule</w:t>
            </w:r>
          </w:p>
        </w:tc>
        <w:tc>
          <w:tcPr>
            <w:tcW w:type="dxa" w:w="56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Current-use schedule against which improvement is measured.</w:t>
            </w:r>
          </w:p>
        </w:tc>
      </w:tr>
      <w:tr>
        <w:tc>
          <w:tcPr>
            <w:tcW w:type="dxa" w:w="38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Validation_Cases</w:t>
            </w:r>
          </w:p>
        </w:tc>
        <w:tc>
          <w:tcPr>
            <w:tcW w:type="dxa" w:w="56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Known cases for checking calculations and logic.</w:t>
            </w:r>
          </w:p>
        </w:tc>
      </w:tr>
      <w:tr>
        <w:tc>
          <w:tcPr>
            <w:tcW w:type="dxa" w:w="38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Output_Schedule_Template / Output_Summary_Template</w:t>
            </w:r>
          </w:p>
        </w:tc>
        <w:tc>
          <w:tcPr>
            <w:tcW w:type="dxa" w:w="5688"/>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Required export structure. Do not rename required columns.</w:t>
            </w:r>
          </w:p>
        </w:tc>
      </w:tr>
      <w:tr>
        <w:tc>
          <w:tcPr>
            <w:tcW w:type="dxa" w:w="38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Custom_Profile_Template / Custom_Interval_Template</w:t>
            </w:r>
          </w:p>
        </w:tc>
        <w:tc>
          <w:tcPr>
            <w:tcW w:type="dxa" w:w="5688"/>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Where your team structures its original seven-day scenario.</w:t>
            </w:r>
          </w:p>
        </w:tc>
      </w:tr>
    </w:tbl>
    <w:p>
      <w:pPr>
        <w:pStyle w:val="Heading1"/>
      </w:pPr>
      <w:r>
        <w:t>8. Non-Negotiable Rules</w:t>
      </w:r>
    </w:p>
    <w:p>
      <w:pPr>
        <w:pStyle w:val="ListBullet"/>
        <w:spacing w:after="60"/>
      </w:pPr>
      <w:r>
        <w:rPr>
          <w:rFonts w:ascii="Arial" w:hAnsi="Arial"/>
          <w:b w:val="0"/>
          <w:i w:val="0"/>
          <w:color w:val="1F2937"/>
          <w:sz w:val="20"/>
        </w:rPr>
        <w:t>Do not hard-code recommendations or judge-case outputs.</w:t>
      </w:r>
    </w:p>
    <w:p>
      <w:pPr>
        <w:pStyle w:val="ListBullet"/>
        <w:spacing w:after="60"/>
      </w:pPr>
      <w:r>
        <w:rPr>
          <w:rFonts w:ascii="Arial" w:hAnsi="Arial"/>
          <w:b w:val="0"/>
          <w:i w:val="0"/>
          <w:color w:val="1F2937"/>
          <w:sz w:val="20"/>
        </w:rPr>
        <w:t>Do not submit only a weather screen, carbon calculator, awareness website or generic chatbot.</w:t>
      </w:r>
    </w:p>
    <w:p>
      <w:pPr>
        <w:pStyle w:val="ListBullet"/>
        <w:spacing w:after="60"/>
      </w:pPr>
      <w:r>
        <w:rPr>
          <w:rFonts w:ascii="Arial" w:hAnsi="Arial"/>
          <w:b w:val="0"/>
          <w:i w:val="0"/>
          <w:color w:val="1F2937"/>
          <w:sz w:val="20"/>
        </w:rPr>
        <w:t>Do not silently ignore invalid or missing data; validate it and show an understandable error or warning.</w:t>
      </w:r>
    </w:p>
    <w:p>
      <w:pPr>
        <w:pStyle w:val="ListBullet"/>
        <w:spacing w:after="60"/>
      </w:pPr>
      <w:r>
        <w:rPr>
          <w:rFonts w:ascii="Arial" w:hAnsi="Arial"/>
          <w:b w:val="0"/>
          <w:i w:val="0"/>
          <w:color w:val="1F2937"/>
          <w:sz w:val="20"/>
        </w:rPr>
        <w:t>Do not claim savings by allowing unacceptable or unreported indoor conditions.</w:t>
      </w:r>
    </w:p>
    <w:p>
      <w:pPr>
        <w:pStyle w:val="ListBullet"/>
        <w:spacing w:after="60"/>
      </w:pPr>
      <w:r>
        <w:rPr>
          <w:rFonts w:ascii="Arial" w:hAnsi="Arial"/>
          <w:b w:val="0"/>
          <w:i w:val="0"/>
          <w:color w:val="1F2937"/>
          <w:sz w:val="20"/>
        </w:rPr>
        <w:t>Disclose all APIs, models, libraries, datasets, copied components and AI-assisted development tools used.</w:t>
      </w:r>
    </w:p>
    <w:p>
      <w:pPr>
        <w:pStyle w:val="ListBullet"/>
        <w:spacing w:after="60"/>
      </w:pPr>
      <w:r>
        <w:rPr>
          <w:rFonts w:ascii="Arial" w:hAnsi="Arial"/>
          <w:b w:val="0"/>
          <w:i w:val="0"/>
          <w:color w:val="1F2937"/>
          <w:sz w:val="20"/>
        </w:rPr>
        <w:t>Keep the original public workbook unchanged. Work from a copy and export results using the supplied templates.</w:t>
      </w:r>
    </w:p>
    <w:p>
      <w:pPr>
        <w:pStyle w:val="ListBullet"/>
        <w:spacing w:after="60"/>
      </w:pPr>
      <w:r>
        <w:rPr>
          <w:rFonts w:ascii="Arial" w:hAnsi="Arial"/>
          <w:b w:val="0"/>
          <w:i w:val="0"/>
          <w:color w:val="1F2937"/>
          <w:sz w:val="20"/>
        </w:rPr>
        <w:t>Clearly label every feature as functional, simulated or planned.</w:t>
      </w:r>
    </w:p>
    <w:p>
      <w:pPr>
        <w:pStyle w:val="Heading1"/>
      </w:pPr>
      <w:r>
        <w:t>9. Final Participant Checklist</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8496"/>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Before submission</w:t>
            </w:r>
          </w:p>
        </w:tc>
        <w:tc>
          <w:tcPr>
            <w:tcW w:type="dxa" w:w="1080"/>
            <w:shd w:fill="166534"/>
            <w:tcBorders>
              <w:top w:val="single" w:sz="5" w:color="D1D5DB"/>
              <w:left w:val="single" w:sz="5" w:color="D1D5DB"/>
              <w:bottom w:val="single" w:sz="5" w:color="D1D5DB"/>
              <w:right w:val="single" w:sz="5" w:color="D1D5DB"/>
              <w:insideH w:val="single" w:sz="5" w:color="D1D5DB"/>
              <w:insideV w:val="single" w:sz="5" w:color="D1D5DB"/>
            </w:tcBorders>
            <w:vAlign w:val="center"/>
          </w:tcPr>
          <w:p>
            <w:pPr>
              <w:jc w:val="left"/>
            </w:pPr>
            <w:r>
              <w:rPr>
                <w:rFonts w:ascii="Arial" w:hAnsi="Arial"/>
                <w:b/>
                <w:i w:val="0"/>
                <w:color w:val="FFFFFF"/>
                <w:sz w:val="18"/>
              </w:rPr>
              <w:t>Check</w:t>
            </w:r>
          </w:p>
        </w:tc>
      </w:tr>
      <w:tr>
        <w:tc>
          <w:tcPr>
            <w:tcW w:type="dxa" w:w="849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All four participant files have been reviewed.</w:t>
            </w:r>
          </w:p>
        </w:tc>
        <w:tc>
          <w:tcPr>
            <w:tcW w:type="dxa" w:w="108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The complete 8,640-row public dataset can be imported or processed.</w:t>
            </w:r>
          </w:p>
        </w:tc>
        <w:tc>
          <w:tcPr>
            <w:tcW w:type="dxa" w:w="108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Baseline calculations and optimized schedules are both available.</w:t>
            </w:r>
          </w:p>
        </w:tc>
        <w:tc>
          <w:tcPr>
            <w:tcW w:type="dxa" w:w="108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At least 2,688 required output rows have been exported.</w:t>
            </w:r>
          </w:p>
        </w:tc>
        <w:tc>
          <w:tcPr>
            <w:tcW w:type="dxa" w:w="108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The seven-day custom scenario and provenance note are included.</w:t>
            </w:r>
          </w:p>
        </w:tc>
        <w:tc>
          <w:tcPr>
            <w:tcW w:type="dxa" w:w="108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Outages, battery limits, appliance limits and comfort rules are tested.</w:t>
            </w:r>
          </w:p>
        </w:tc>
        <w:tc>
          <w:tcPr>
            <w:tcW w:type="dxa" w:w="108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Missing data and infeasible conditions are handled visibly.</w:t>
            </w:r>
          </w:p>
        </w:tc>
        <w:tc>
          <w:tcPr>
            <w:tcW w:type="dxa" w:w="108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Repository, setup guide, architecture, formulas and resource disclosure are ready.</w:t>
            </w:r>
          </w:p>
        </w:tc>
        <w:tc>
          <w:tcPr>
            <w:tcW w:type="dxa" w:w="108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The team can import an unseen 24-hour case and generate 96 rows without changing source code.</w:t>
            </w:r>
          </w:p>
        </w:tc>
        <w:tc>
          <w:tcPr>
            <w:tcW w:type="dxa" w:w="1080"/>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r>
        <w:tc>
          <w:tcPr>
            <w:tcW w:type="dxa" w:w="8496"/>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The final pitch and live demonstration have been rehearsed.</w:t>
            </w:r>
          </w:p>
        </w:tc>
        <w:tc>
          <w:tcPr>
            <w:tcW w:type="dxa" w:w="1080"/>
            <w:shd w:fill="F8FAFC"/>
            <w:tcBorders>
              <w:top w:val="single" w:sz="4" w:color="D1D5DB"/>
              <w:left w:val="single" w:sz="4" w:color="D1D5DB"/>
              <w:bottom w:val="single" w:sz="4" w:color="D1D5DB"/>
              <w:right w:val="single" w:sz="4" w:color="D1D5DB"/>
              <w:insideH w:val="single" w:sz="4" w:color="D1D5DB"/>
              <w:insideV w:val="single" w:sz="4" w:color="D1D5DB"/>
            </w:tcBorders>
            <w:vAlign w:val="top"/>
          </w:tcPr>
          <w:p>
            <w:r>
              <w:rPr>
                <w:rFonts w:ascii="Arial" w:hAnsi="Arial"/>
                <w:b w:val="0"/>
                <w:i w:val="0"/>
                <w:color w:val="1F2937"/>
                <w:sz w:val="17"/>
              </w:rPr>
              <w:t>☐</w:t>
            </w:r>
          </w:p>
        </w:tc>
      </w:tr>
    </w:tbl>
    <w:tbl>
      <w:tblPr>
        <w:tblW w:type="auto" w:w="0"/>
        <w:jc w:val="center"/>
        <w:tblLayout w:type="fixed"/>
        <w:tblLook w:firstColumn="1" w:firstRow="1" w:lastColumn="0" w:lastRow="0" w:noHBand="0" w:noVBand="1" w:val="04A0"/>
      </w:tblPr>
      <w:tblGrid>
        <w:gridCol w:w="9576"/>
      </w:tblGrid>
      <w:tr>
        <w:tc>
          <w:tcPr>
            <w:tcW w:type="dxa" w:w="9749"/>
            <w:shd w:fill="FEF3C7"/>
            <w:tcBorders>
              <w:top w:val="single" w:sz="8" w:color="F59E0B"/>
              <w:left w:val="single" w:sz="8" w:color="F59E0B"/>
              <w:bottom w:val="single" w:sz="8" w:color="F59E0B"/>
              <w:right w:val="single" w:sz="8" w:color="F59E0B"/>
              <w:insideH w:val="single" w:sz="8" w:color="F59E0B"/>
              <w:insideV w:val="single" w:sz="8" w:color="F59E0B"/>
            </w:tcBorders>
          </w:tcPr>
          <w:p>
            <w:pPr>
              <w:spacing w:before="60" w:after="60"/>
            </w:pPr>
            <w:r>
              <w:rPr>
                <w:rFonts w:ascii="Arial" w:hAnsi="Arial"/>
                <w:b/>
                <w:i w:val="0"/>
                <w:color w:val="1F2937"/>
                <w:sz w:val="21"/>
              </w:rPr>
              <w:t>Official instructions take priority</w:t>
              <w:br/>
            </w:r>
            <w:r>
              <w:rPr>
                <w:rFonts w:ascii="Arial" w:hAnsi="Arial"/>
                <w:b w:val="0"/>
                <w:i w:val="0"/>
                <w:color w:val="1F2937"/>
                <w:sz w:val="19"/>
              </w:rPr>
              <w:t>Challenge timings, submission channel, team naming, presentation duration and support contact will be communicated by the organizers. Where an official announcement differs from a logistical note in this file, follow the latest organizer announcement.</w:t>
            </w:r>
          </w:p>
        </w:tc>
      </w:tr>
    </w:tbl>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488"/>
      <w:gridCol w:w="2160"/>
    </w:tblGrid>
    <w:tr>
      <w:tc>
        <w:tcPr>
          <w:tcW w:type="dxa" w:w="4824"/>
        </w:tcPr>
        <w:p>
          <w:r>
            <w:rPr>
              <w:rFonts w:ascii="Arial" w:hAnsi="Arial"/>
              <w:b w:val="0"/>
              <w:i w:val="0"/>
              <w:color w:val="4B5563"/>
              <w:sz w:val="16"/>
            </w:rPr>
            <w:t>START HERE  |  Participant Document</w:t>
          </w:r>
        </w:p>
      </w:tc>
      <w:tc>
        <w:tcPr>
          <w:tcW w:type="dxa" w:w="4824"/>
        </w:tcPr>
        <w:p>
          <w:pPr>
            <w:jc w:val="right"/>
          </w:pPr>
          <w:r>
            <w:rPr>
              <w:rFonts w:ascii="Arial" w:hAnsi="Arial"/>
              <w:b w:val="0"/>
              <w:i w:val="0"/>
              <w:color w:val="4B556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66534"/>
        <w:sz w:val="16"/>
      </w:rPr>
      <w:t>RAPID FORGE  |  COOLSHIFT PARTICIPANT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4532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453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CoolShift - Read Me First</dc:title>
  <dc:subject>Participant Pack Orientation and Quick-Start Guide</dc:subject>
  <dc:creator>Rapid Forge Buildathon</dc:creator>
  <cp:keywords>CoolShift, Rapid Forge, Buildathon, SDG 7, SDG 13, README</cp:keywords>
  <dc:description>Participant-facing orientation document.</dc:description>
  <cp:lastModifiedBy/>
  <cp:revision>1</cp:revision>
  <dcterms:created xsi:type="dcterms:W3CDTF">2013-12-23T23:15:00Z</dcterms:created>
  <dcterms:modified xsi:type="dcterms:W3CDTF">2013-12-23T23:15:00Z</dcterms:modified>
  <cp:category/>
</cp:coreProperties>
</file>